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F7" w:rsidRDefault="00241213" w:rsidP="005864F7">
      <w:pPr>
        <w:rPr>
          <w:i/>
          <w:iCs/>
          <w:color w:val="000000"/>
          <w:szCs w:val="24"/>
          <w:lang w:eastAsia="en-GB"/>
        </w:rPr>
      </w:pPr>
      <w:bookmarkStart w:id="0" w:name="_GoBack"/>
      <w:bookmarkEnd w:id="0"/>
      <w:r>
        <w:rPr>
          <w:i/>
          <w:iCs/>
          <w:noProof/>
          <w:color w:val="000000"/>
          <w:szCs w:val="24"/>
          <w:lang w:val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5007610</wp:posOffset>
            </wp:positionH>
            <wp:positionV relativeFrom="paragraph">
              <wp:posOffset>-546735</wp:posOffset>
            </wp:positionV>
            <wp:extent cx="1450975" cy="701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4F7" w:rsidRDefault="005864F7" w:rsidP="00234100">
      <w:pPr>
        <w:pStyle w:val="Heading1"/>
        <w:rPr>
          <w:rFonts w:ascii="Arial" w:hAnsi="Arial" w:cs="Arial"/>
        </w:rPr>
      </w:pPr>
      <w:r w:rsidRPr="003F40AC">
        <w:rPr>
          <w:rFonts w:ascii="Arial" w:hAnsi="Arial" w:cs="Arial"/>
        </w:rPr>
        <w:t xml:space="preserve">Response </w:t>
      </w:r>
      <w:r w:rsidR="00820A2C">
        <w:rPr>
          <w:rFonts w:ascii="Arial" w:hAnsi="Arial" w:cs="Arial"/>
        </w:rPr>
        <w:t xml:space="preserve">to ORR’s </w:t>
      </w:r>
      <w:r w:rsidR="00234100">
        <w:rPr>
          <w:rFonts w:ascii="Arial" w:hAnsi="Arial" w:cs="Arial"/>
        </w:rPr>
        <w:t xml:space="preserve">consultation on </w:t>
      </w:r>
      <w:r w:rsidR="00430EB0">
        <w:rPr>
          <w:rFonts w:ascii="Arial" w:hAnsi="Arial" w:cs="Arial"/>
        </w:rPr>
        <w:t xml:space="preserve">‘route requirements and scorecards’, part of </w:t>
      </w:r>
      <w:r w:rsidR="00234100">
        <w:rPr>
          <w:rFonts w:ascii="Arial" w:hAnsi="Arial" w:cs="Arial"/>
        </w:rPr>
        <w:t xml:space="preserve">the </w:t>
      </w:r>
      <w:r w:rsidR="00FC585E">
        <w:rPr>
          <w:rFonts w:ascii="Arial" w:hAnsi="Arial" w:cs="Arial"/>
        </w:rPr>
        <w:t>overall framework for regulating</w:t>
      </w:r>
      <w:r w:rsidR="00234100">
        <w:rPr>
          <w:rFonts w:ascii="Arial" w:hAnsi="Arial" w:cs="Arial"/>
        </w:rPr>
        <w:t xml:space="preserve"> Network Rail (PR18)</w:t>
      </w:r>
    </w:p>
    <w:p w:rsidR="004C58B7" w:rsidRPr="004C58B7" w:rsidRDefault="004C58B7" w:rsidP="004C58B7">
      <w:r>
        <w:t xml:space="preserve">This pro-forma is available to those that wish to use it to respond to our consultation. </w:t>
      </w:r>
      <w:r w:rsidR="00820A2C">
        <w:t>Other forms of response (e.g. lett</w:t>
      </w:r>
      <w:r w:rsidR="00430EB0">
        <w:t>er format) are equally welcome.</w:t>
      </w:r>
    </w:p>
    <w:p w:rsidR="00195B85" w:rsidRPr="00BC24A0" w:rsidRDefault="00195B85" w:rsidP="00195B85">
      <w:r>
        <w:t xml:space="preserve">Please send your response to </w:t>
      </w:r>
      <w:hyperlink r:id="rId9" w:history="1">
        <w:r w:rsidR="00BF49D7" w:rsidRPr="004E7527">
          <w:rPr>
            <w:rStyle w:val="Hyperlink"/>
          </w:rPr>
          <w:t>pr18@orr.gov.uk</w:t>
        </w:r>
      </w:hyperlink>
      <w:r>
        <w:t xml:space="preserve"> by </w:t>
      </w:r>
      <w:r w:rsidR="00FC585E">
        <w:rPr>
          <w:b/>
        </w:rPr>
        <w:t>21 September 2017</w:t>
      </w:r>
      <w:r>
        <w:t xml:space="preserve">. </w:t>
      </w:r>
    </w:p>
    <w:p w:rsidR="003F40AC" w:rsidRPr="00E67EF9" w:rsidRDefault="003F40AC" w:rsidP="005864F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7269"/>
      </w:tblGrid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pStyle w:val="CommentText"/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Full name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pStyle w:val="CommentText"/>
              <w:spacing w:before="40" w:after="40"/>
              <w:rPr>
                <w:szCs w:val="24"/>
              </w:rPr>
            </w:pPr>
          </w:p>
        </w:tc>
      </w:tr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Job title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Organisation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Email</w:t>
            </w:r>
            <w:r w:rsidR="00820A2C" w:rsidRPr="00F40E42">
              <w:rPr>
                <w:b/>
                <w:szCs w:val="24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Telephone number</w:t>
            </w:r>
            <w:r w:rsidR="00820A2C" w:rsidRPr="00F40E42">
              <w:rPr>
                <w:b/>
                <w:szCs w:val="24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szCs w:val="24"/>
              </w:rPr>
            </w:pPr>
          </w:p>
        </w:tc>
      </w:tr>
    </w:tbl>
    <w:p w:rsidR="005864F7" w:rsidRDefault="00820A2C" w:rsidP="00820A2C">
      <w:pPr>
        <w:spacing w:before="0"/>
        <w:rPr>
          <w:szCs w:val="24"/>
        </w:rPr>
      </w:pPr>
      <w:r w:rsidRPr="00820A2C">
        <w:rPr>
          <w:sz w:val="20"/>
          <w:szCs w:val="24"/>
        </w:rPr>
        <w:t>*This information will not be published</w:t>
      </w:r>
      <w:r>
        <w:rPr>
          <w:sz w:val="20"/>
          <w:szCs w:val="24"/>
        </w:rPr>
        <w:t xml:space="preserve"> on our website.</w:t>
      </w:r>
    </w:p>
    <w:p w:rsidR="00820A2C" w:rsidRPr="00820A2C" w:rsidRDefault="00820A2C" w:rsidP="00820A2C">
      <w:pPr>
        <w:spacing w:before="0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C58B7" w:rsidRPr="00E67EF9" w:rsidTr="004C58B7">
        <w:tc>
          <w:tcPr>
            <w:tcW w:w="10314" w:type="dxa"/>
            <w:shd w:val="clear" w:color="auto" w:fill="FFFFFF"/>
          </w:tcPr>
          <w:p w:rsidR="00FE77DA" w:rsidRPr="00F67D4A" w:rsidRDefault="00FE77DA" w:rsidP="00820A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2</w:t>
            </w:r>
            <w:r w:rsidR="004C58B7">
              <w:rPr>
                <w:b/>
                <w:szCs w:val="24"/>
              </w:rPr>
              <w:t xml:space="preserve">: </w:t>
            </w:r>
            <w:r>
              <w:rPr>
                <w:b/>
                <w:szCs w:val="24"/>
              </w:rPr>
              <w:t>Health and safety</w:t>
            </w:r>
          </w:p>
        </w:tc>
      </w:tr>
      <w:tr w:rsidR="00F67D4A" w:rsidRPr="00E67EF9" w:rsidTr="00F67D4A">
        <w:trPr>
          <w:trHeight w:val="508"/>
        </w:trPr>
        <w:tc>
          <w:tcPr>
            <w:tcW w:w="10314" w:type="dxa"/>
            <w:shd w:val="clear" w:color="auto" w:fill="FFFFFF"/>
          </w:tcPr>
          <w:p w:rsidR="00F67D4A" w:rsidRPr="00E67EF9" w:rsidRDefault="00F67D4A" w:rsidP="004C58B7">
            <w:r w:rsidRPr="00FE77DA">
              <w:rPr>
                <w:szCs w:val="24"/>
              </w:rPr>
              <w:t>Do you have any comments on our proposed approach to the health and safety aspects of route scorecards?</w:t>
            </w:r>
          </w:p>
        </w:tc>
      </w:tr>
      <w:tr w:rsidR="004C58B7" w:rsidRPr="00E67EF9" w:rsidTr="00195B85">
        <w:trPr>
          <w:trHeight w:val="1683"/>
        </w:trPr>
        <w:tc>
          <w:tcPr>
            <w:tcW w:w="10314" w:type="dxa"/>
            <w:shd w:val="clear" w:color="auto" w:fill="FFFFFF"/>
          </w:tcPr>
          <w:p w:rsidR="004C58B7" w:rsidRPr="00E67EF9" w:rsidRDefault="004C58B7" w:rsidP="004C58B7"/>
        </w:tc>
      </w:tr>
    </w:tbl>
    <w:p w:rsidR="00AF1FED" w:rsidRDefault="00AF1FED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AF1FED" w:rsidRPr="00E67EF9" w:rsidTr="009B45D1">
        <w:trPr>
          <w:trHeight w:val="508"/>
        </w:trPr>
        <w:tc>
          <w:tcPr>
            <w:tcW w:w="10314" w:type="dxa"/>
            <w:shd w:val="clear" w:color="auto" w:fill="FFFFFF"/>
          </w:tcPr>
          <w:p w:rsidR="00AF1FED" w:rsidRPr="009B45D1" w:rsidRDefault="00FE77DA" w:rsidP="00AF1F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Section </w:t>
            </w:r>
            <w:r w:rsidR="00AF1FED">
              <w:rPr>
                <w:b/>
                <w:szCs w:val="24"/>
              </w:rPr>
              <w:t xml:space="preserve">3: </w:t>
            </w:r>
            <w:r w:rsidR="009B45D1">
              <w:rPr>
                <w:b/>
                <w:szCs w:val="24"/>
              </w:rPr>
              <w:t>Financial performance</w:t>
            </w:r>
          </w:p>
        </w:tc>
      </w:tr>
      <w:tr w:rsidR="009B45D1" w:rsidRPr="00E67EF9" w:rsidTr="009B45D1">
        <w:trPr>
          <w:trHeight w:val="715"/>
        </w:trPr>
        <w:tc>
          <w:tcPr>
            <w:tcW w:w="10314" w:type="dxa"/>
            <w:shd w:val="clear" w:color="auto" w:fill="FFFFFF"/>
          </w:tcPr>
          <w:p w:rsidR="009B45D1" w:rsidRPr="009B45D1" w:rsidRDefault="009B45D1" w:rsidP="009B45D1">
            <w:pPr>
              <w:rPr>
                <w:szCs w:val="24"/>
              </w:rPr>
            </w:pPr>
            <w:r w:rsidRPr="009B45D1">
              <w:rPr>
                <w:szCs w:val="24"/>
              </w:rPr>
              <w:t>Would financial performance measures on scorecards provide useful information to customers and other stakeholders? If you think they would, which ones would be most helpful?</w:t>
            </w:r>
          </w:p>
        </w:tc>
      </w:tr>
      <w:tr w:rsidR="009B45D1" w:rsidRPr="00E67EF9" w:rsidTr="009B45D1">
        <w:trPr>
          <w:trHeight w:val="1003"/>
        </w:trPr>
        <w:tc>
          <w:tcPr>
            <w:tcW w:w="10314" w:type="dxa"/>
            <w:shd w:val="clear" w:color="auto" w:fill="FFFFFF"/>
          </w:tcPr>
          <w:p w:rsidR="009B45D1" w:rsidRDefault="009B45D1" w:rsidP="009B45D1">
            <w:pPr>
              <w:rPr>
                <w:szCs w:val="24"/>
              </w:rPr>
            </w:pPr>
          </w:p>
          <w:p w:rsidR="009B45D1" w:rsidRDefault="009B45D1" w:rsidP="009B45D1">
            <w:pPr>
              <w:rPr>
                <w:szCs w:val="24"/>
              </w:rPr>
            </w:pPr>
          </w:p>
          <w:p w:rsidR="002F39E8" w:rsidRDefault="002F39E8" w:rsidP="009B45D1">
            <w:pPr>
              <w:rPr>
                <w:szCs w:val="24"/>
              </w:rPr>
            </w:pPr>
          </w:p>
          <w:p w:rsidR="002F39E8" w:rsidRDefault="002F39E8" w:rsidP="009B45D1">
            <w:pPr>
              <w:rPr>
                <w:szCs w:val="24"/>
              </w:rPr>
            </w:pPr>
          </w:p>
          <w:p w:rsidR="009B45D1" w:rsidRPr="009B45D1" w:rsidRDefault="009B45D1" w:rsidP="009B45D1">
            <w:pPr>
              <w:rPr>
                <w:szCs w:val="24"/>
              </w:rPr>
            </w:pPr>
          </w:p>
        </w:tc>
      </w:tr>
      <w:tr w:rsidR="009B45D1" w:rsidRPr="00E67EF9" w:rsidTr="009B45D1">
        <w:trPr>
          <w:trHeight w:val="625"/>
        </w:trPr>
        <w:tc>
          <w:tcPr>
            <w:tcW w:w="10314" w:type="dxa"/>
            <w:shd w:val="clear" w:color="auto" w:fill="FFFFFF"/>
          </w:tcPr>
          <w:p w:rsidR="009B45D1" w:rsidRPr="009B45D1" w:rsidRDefault="009B45D1" w:rsidP="009B45D1">
            <w:pPr>
              <w:rPr>
                <w:szCs w:val="24"/>
              </w:rPr>
            </w:pPr>
            <w:r w:rsidRPr="009B45D1">
              <w:rPr>
                <w:szCs w:val="24"/>
              </w:rPr>
              <w:lastRenderedPageBreak/>
              <w:t>Should ORR specify the financial performance measures to be included on the scorecards and the rules for calculating them?</w:t>
            </w:r>
          </w:p>
        </w:tc>
      </w:tr>
      <w:tr w:rsidR="009B45D1" w:rsidRPr="00E67EF9" w:rsidTr="009B45D1">
        <w:trPr>
          <w:trHeight w:val="895"/>
        </w:trPr>
        <w:tc>
          <w:tcPr>
            <w:tcW w:w="10314" w:type="dxa"/>
            <w:shd w:val="clear" w:color="auto" w:fill="FFFFFF"/>
          </w:tcPr>
          <w:p w:rsidR="009B45D1" w:rsidRPr="009B45D1" w:rsidRDefault="009B45D1" w:rsidP="009B45D1">
            <w:pPr>
              <w:rPr>
                <w:szCs w:val="24"/>
              </w:rPr>
            </w:pPr>
          </w:p>
        </w:tc>
      </w:tr>
      <w:tr w:rsidR="009B45D1" w:rsidRPr="00E67EF9" w:rsidTr="009B45D1">
        <w:trPr>
          <w:trHeight w:val="355"/>
        </w:trPr>
        <w:tc>
          <w:tcPr>
            <w:tcW w:w="10314" w:type="dxa"/>
            <w:shd w:val="clear" w:color="auto" w:fill="FFFFFF"/>
          </w:tcPr>
          <w:p w:rsidR="009B45D1" w:rsidRPr="009B45D1" w:rsidRDefault="009B45D1" w:rsidP="009B45D1">
            <w:pPr>
              <w:rPr>
                <w:szCs w:val="24"/>
              </w:rPr>
            </w:pPr>
            <w:r w:rsidRPr="009B45D1">
              <w:rPr>
                <w:szCs w:val="24"/>
              </w:rPr>
              <w:t>Should we set a minimum level of financial performance requirement?</w:t>
            </w:r>
          </w:p>
        </w:tc>
      </w:tr>
      <w:tr w:rsidR="009B45D1" w:rsidRPr="00E67EF9" w:rsidTr="009B45D1">
        <w:trPr>
          <w:trHeight w:val="832"/>
        </w:trPr>
        <w:tc>
          <w:tcPr>
            <w:tcW w:w="10314" w:type="dxa"/>
            <w:shd w:val="clear" w:color="auto" w:fill="FFFFFF"/>
          </w:tcPr>
          <w:p w:rsidR="009B45D1" w:rsidRPr="009B45D1" w:rsidRDefault="009B45D1" w:rsidP="009B45D1">
            <w:pPr>
              <w:rPr>
                <w:szCs w:val="24"/>
              </w:rPr>
            </w:pPr>
          </w:p>
        </w:tc>
      </w:tr>
      <w:tr w:rsidR="009B45D1" w:rsidRPr="00E67EF9" w:rsidTr="009B45D1">
        <w:trPr>
          <w:trHeight w:val="445"/>
        </w:trPr>
        <w:tc>
          <w:tcPr>
            <w:tcW w:w="10314" w:type="dxa"/>
            <w:shd w:val="clear" w:color="auto" w:fill="FFFFFF"/>
          </w:tcPr>
          <w:p w:rsidR="009B45D1" w:rsidRPr="009B45D1" w:rsidRDefault="009B45D1" w:rsidP="009B45D1">
            <w:pPr>
              <w:rPr>
                <w:szCs w:val="24"/>
              </w:rPr>
            </w:pPr>
            <w:r w:rsidRPr="009B45D1">
              <w:rPr>
                <w:szCs w:val="24"/>
              </w:rPr>
              <w:t xml:space="preserve">Should we specify that an efficiency measure should be included on the scorecards? </w:t>
            </w:r>
          </w:p>
        </w:tc>
      </w:tr>
      <w:tr w:rsidR="009B45D1" w:rsidRPr="00E67EF9" w:rsidTr="009B45D1">
        <w:trPr>
          <w:trHeight w:val="1012"/>
        </w:trPr>
        <w:tc>
          <w:tcPr>
            <w:tcW w:w="10314" w:type="dxa"/>
            <w:shd w:val="clear" w:color="auto" w:fill="FFFFFF"/>
          </w:tcPr>
          <w:p w:rsidR="009B45D1" w:rsidRPr="009B45D1" w:rsidRDefault="009B45D1" w:rsidP="009B45D1">
            <w:pPr>
              <w:rPr>
                <w:szCs w:val="24"/>
              </w:rPr>
            </w:pPr>
          </w:p>
        </w:tc>
      </w:tr>
      <w:tr w:rsidR="009B45D1" w:rsidRPr="00E67EF9" w:rsidTr="009B45D1">
        <w:trPr>
          <w:trHeight w:val="823"/>
        </w:trPr>
        <w:tc>
          <w:tcPr>
            <w:tcW w:w="10314" w:type="dxa"/>
            <w:shd w:val="clear" w:color="auto" w:fill="FFFFFF"/>
          </w:tcPr>
          <w:p w:rsidR="009B45D1" w:rsidRPr="009B45D1" w:rsidRDefault="009B45D1" w:rsidP="009B45D1">
            <w:pPr>
              <w:rPr>
                <w:szCs w:val="24"/>
              </w:rPr>
            </w:pPr>
            <w:r w:rsidRPr="009B45D1">
              <w:rPr>
                <w:szCs w:val="24"/>
              </w:rPr>
              <w:t>Should we specify that diagnostic information and leading indicators of efficiency delivery should be included on the scorecards?</w:t>
            </w:r>
          </w:p>
        </w:tc>
      </w:tr>
      <w:tr w:rsidR="009B45D1" w:rsidRPr="00E67EF9" w:rsidTr="009B45D1">
        <w:trPr>
          <w:trHeight w:val="562"/>
        </w:trPr>
        <w:tc>
          <w:tcPr>
            <w:tcW w:w="10314" w:type="dxa"/>
            <w:shd w:val="clear" w:color="auto" w:fill="FFFFFF"/>
          </w:tcPr>
          <w:p w:rsidR="009B45D1" w:rsidRDefault="009B45D1" w:rsidP="009B45D1">
            <w:pPr>
              <w:rPr>
                <w:szCs w:val="24"/>
              </w:rPr>
            </w:pPr>
          </w:p>
          <w:p w:rsidR="009B45D1" w:rsidRPr="009B45D1" w:rsidRDefault="009B45D1" w:rsidP="009B45D1">
            <w:pPr>
              <w:rPr>
                <w:szCs w:val="24"/>
              </w:rPr>
            </w:pPr>
          </w:p>
        </w:tc>
      </w:tr>
      <w:tr w:rsidR="009B45D1" w:rsidRPr="00E67EF9" w:rsidTr="009B45D1">
        <w:trPr>
          <w:trHeight w:val="562"/>
        </w:trPr>
        <w:tc>
          <w:tcPr>
            <w:tcW w:w="10314" w:type="dxa"/>
            <w:shd w:val="clear" w:color="auto" w:fill="FFFFFF"/>
          </w:tcPr>
          <w:p w:rsidR="009B45D1" w:rsidRPr="009B45D1" w:rsidRDefault="009B45D1" w:rsidP="009B45D1">
            <w:pPr>
              <w:rPr>
                <w:szCs w:val="24"/>
              </w:rPr>
            </w:pPr>
            <w:r w:rsidRPr="009B45D1">
              <w:rPr>
                <w:szCs w:val="24"/>
              </w:rPr>
              <w:t>Do you have any views on the financial performance measures that should be used for the FNPO and SO business units?</w:t>
            </w:r>
          </w:p>
        </w:tc>
      </w:tr>
      <w:tr w:rsidR="009B45D1" w:rsidRPr="00E67EF9" w:rsidTr="009B45D1">
        <w:trPr>
          <w:trHeight w:val="985"/>
        </w:trPr>
        <w:tc>
          <w:tcPr>
            <w:tcW w:w="10314" w:type="dxa"/>
            <w:shd w:val="clear" w:color="auto" w:fill="FFFFFF"/>
          </w:tcPr>
          <w:p w:rsidR="009B45D1" w:rsidRPr="009B45D1" w:rsidRDefault="009B45D1" w:rsidP="009B45D1">
            <w:pPr>
              <w:rPr>
                <w:szCs w:val="24"/>
              </w:rPr>
            </w:pPr>
          </w:p>
        </w:tc>
      </w:tr>
    </w:tbl>
    <w:p w:rsidR="00AF1FED" w:rsidRDefault="00AF1FED" w:rsidP="005864F7">
      <w:pPr>
        <w:rPr>
          <w:szCs w:val="24"/>
        </w:rPr>
      </w:pPr>
    </w:p>
    <w:p w:rsidR="009B45D1" w:rsidRDefault="009B45D1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AF1FED" w:rsidRPr="00E67EF9" w:rsidTr="00AF1FED">
        <w:tc>
          <w:tcPr>
            <w:tcW w:w="10314" w:type="dxa"/>
            <w:shd w:val="clear" w:color="auto" w:fill="FFFFFF"/>
          </w:tcPr>
          <w:p w:rsidR="00AF1FED" w:rsidRPr="009B45D1" w:rsidRDefault="009B45D1" w:rsidP="00AF1F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</w:t>
            </w:r>
            <w:r w:rsidR="00AF1FED">
              <w:rPr>
                <w:b/>
                <w:szCs w:val="24"/>
              </w:rPr>
              <w:t xml:space="preserve"> 4: </w:t>
            </w:r>
            <w:r>
              <w:rPr>
                <w:b/>
                <w:szCs w:val="24"/>
              </w:rPr>
              <w:t>Asset management</w:t>
            </w:r>
          </w:p>
        </w:tc>
      </w:tr>
      <w:tr w:rsidR="00AF1FED" w:rsidRPr="00E67EF9" w:rsidTr="009B45D1">
        <w:trPr>
          <w:trHeight w:val="913"/>
        </w:trPr>
        <w:tc>
          <w:tcPr>
            <w:tcW w:w="10314" w:type="dxa"/>
            <w:shd w:val="clear" w:color="auto" w:fill="FFFFFF"/>
          </w:tcPr>
          <w:p w:rsidR="009B45D1" w:rsidRPr="009B45D1" w:rsidRDefault="009B45D1" w:rsidP="009B45D1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 w:rsidRPr="7F069997">
              <w:rPr>
                <w:rFonts w:cs="Arial"/>
              </w:rPr>
              <w:t xml:space="preserve">Do you have any comments on </w:t>
            </w:r>
            <w:r>
              <w:rPr>
                <w:rFonts w:cs="Arial"/>
              </w:rPr>
              <w:t>whether we should require a measure of network sustainability and the proposed measure selected</w:t>
            </w:r>
            <w:r w:rsidRPr="7F069997">
              <w:rPr>
                <w:rFonts w:cs="Arial"/>
              </w:rPr>
              <w:t>?</w:t>
            </w:r>
          </w:p>
        </w:tc>
      </w:tr>
      <w:tr w:rsidR="009B45D1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9B45D1" w:rsidRDefault="009B45D1" w:rsidP="009B45D1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B45D1" w:rsidRPr="00E67EF9" w:rsidTr="009B45D1">
        <w:trPr>
          <w:trHeight w:val="985"/>
        </w:trPr>
        <w:tc>
          <w:tcPr>
            <w:tcW w:w="10314" w:type="dxa"/>
            <w:shd w:val="clear" w:color="auto" w:fill="FFFFFF"/>
          </w:tcPr>
          <w:p w:rsidR="009B45D1" w:rsidRPr="7F069997" w:rsidRDefault="009B45D1" w:rsidP="009B45D1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A draft impact assessment is included in the annex to this document.  Do you have any comments on this?</w:t>
            </w:r>
          </w:p>
        </w:tc>
      </w:tr>
      <w:tr w:rsidR="009B45D1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9B45D1" w:rsidRDefault="009B45D1" w:rsidP="009B45D1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434419" w:rsidRDefault="00434419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AF1FED" w:rsidRPr="00E67EF9" w:rsidTr="00AF1FED">
        <w:tc>
          <w:tcPr>
            <w:tcW w:w="10314" w:type="dxa"/>
            <w:shd w:val="clear" w:color="auto" w:fill="FFFFFF"/>
          </w:tcPr>
          <w:p w:rsidR="00AF1FED" w:rsidRPr="009B45D1" w:rsidRDefault="00AF1FED" w:rsidP="00AF1F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Chapter 5: </w:t>
            </w:r>
            <w:r w:rsidR="009B45D1">
              <w:rPr>
                <w:b/>
                <w:szCs w:val="24"/>
              </w:rPr>
              <w:t>Train performance</w:t>
            </w:r>
          </w:p>
        </w:tc>
      </w:tr>
      <w:tr w:rsidR="00003E05" w:rsidRPr="00E67EF9" w:rsidTr="00003E05">
        <w:trPr>
          <w:trHeight w:val="490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9B45D1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  <w:i/>
              </w:rPr>
            </w:pPr>
            <w:r w:rsidRPr="00003E05">
              <w:rPr>
                <w:rFonts w:cs="Arial"/>
                <w:i/>
              </w:rPr>
              <w:t>Route performance – passenger market</w:t>
            </w:r>
          </w:p>
        </w:tc>
      </w:tr>
      <w:tr w:rsidR="009B45D1" w:rsidRPr="00E67EF9" w:rsidTr="009B45D1">
        <w:trPr>
          <w:trHeight w:val="760"/>
        </w:trPr>
        <w:tc>
          <w:tcPr>
            <w:tcW w:w="10314" w:type="dxa"/>
            <w:shd w:val="clear" w:color="auto" w:fill="FFFFFF"/>
          </w:tcPr>
          <w:p w:rsidR="009B45D1" w:rsidRPr="009B45D1" w:rsidRDefault="00003E05" w:rsidP="009B45D1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 w:rsidRPr="009B45D1">
              <w:rPr>
                <w:rFonts w:cs="Arial"/>
              </w:rPr>
              <w:t>Do you agree our proposed approach to the having a consistently calculated route measure?  We would like to hear views in consultation on the respective merits of imported and indirect reactionary delay with regard to its inclusion in this measure.</w:t>
            </w:r>
          </w:p>
        </w:tc>
      </w:tr>
      <w:tr w:rsidR="009B45D1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9B45D1" w:rsidRPr="00E67EF9" w:rsidRDefault="009B45D1" w:rsidP="00AF1FED"/>
        </w:tc>
      </w:tr>
      <w:tr w:rsidR="009B45D1" w:rsidRPr="00E67EF9" w:rsidTr="00003E05">
        <w:trPr>
          <w:trHeight w:val="310"/>
        </w:trPr>
        <w:tc>
          <w:tcPr>
            <w:tcW w:w="10314" w:type="dxa"/>
            <w:shd w:val="clear" w:color="auto" w:fill="FFFFFF"/>
          </w:tcPr>
          <w:p w:rsidR="009B45D1" w:rsidRPr="00003E05" w:rsidRDefault="009B45D1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 w:rsidRPr="009B45D1">
              <w:rPr>
                <w:rFonts w:cs="Arial"/>
              </w:rPr>
              <w:t>Do you agree with the approach to normalisation of the consistently calculated route measure?</w:t>
            </w:r>
          </w:p>
        </w:tc>
      </w:tr>
      <w:tr w:rsidR="009B45D1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9B45D1" w:rsidRPr="00E67EF9" w:rsidRDefault="009B45D1" w:rsidP="00AF1FED"/>
        </w:tc>
      </w:tr>
      <w:tr w:rsidR="004D35ED" w:rsidRPr="00E67EF9" w:rsidTr="004D35ED">
        <w:trPr>
          <w:trHeight w:val="625"/>
        </w:trPr>
        <w:tc>
          <w:tcPr>
            <w:tcW w:w="10314" w:type="dxa"/>
            <w:shd w:val="clear" w:color="auto" w:fill="FFFFFF"/>
          </w:tcPr>
          <w:p w:rsidR="004D35ED" w:rsidRPr="004D35ED" w:rsidRDefault="004D35ED" w:rsidP="004D35ED">
            <w:pPr>
              <w:spacing w:before="240" w:after="200" w:line="288" w:lineRule="auto"/>
              <w:rPr>
                <w:color w:val="000000"/>
                <w:szCs w:val="26"/>
              </w:rPr>
            </w:pPr>
            <w:r w:rsidRPr="004D35ED">
              <w:rPr>
                <w:color w:val="000000"/>
                <w:szCs w:val="26"/>
              </w:rPr>
              <w:t>Do you have any comments on the options for setting a regulatory minimum floor?</w:t>
            </w:r>
          </w:p>
        </w:tc>
      </w:tr>
      <w:tr w:rsidR="004D35ED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4D35ED" w:rsidRPr="009B45D1" w:rsidRDefault="004D35ED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B45D1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9B45D1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 w:rsidRPr="009B45D1">
              <w:rPr>
                <w:rFonts w:cs="Arial"/>
              </w:rPr>
              <w:lastRenderedPageBreak/>
              <w:t>Do you agree this measure should be on geographic route scorecards and not FNPO, and in particular</w:t>
            </w:r>
            <w:r w:rsidR="004D35ED">
              <w:rPr>
                <w:rFonts w:cs="Arial"/>
              </w:rPr>
              <w:t>,</w:t>
            </w:r>
            <w:r w:rsidRPr="009B45D1">
              <w:rPr>
                <w:rFonts w:cs="Arial"/>
              </w:rPr>
              <w:t xml:space="preserve"> that this will afford appropriate protection to national passenger operators as well as those operators aligned to a geographic route?</w:t>
            </w:r>
          </w:p>
        </w:tc>
      </w:tr>
      <w:tr w:rsidR="00AF1FED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AF1FED" w:rsidRPr="00E67EF9" w:rsidRDefault="00AF1FED" w:rsidP="00AF1FED"/>
        </w:tc>
      </w:tr>
      <w:tr w:rsidR="00003E05" w:rsidRPr="00E67EF9" w:rsidTr="00003E05">
        <w:trPr>
          <w:trHeight w:val="895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 draft impact assessment is included in the annex to this document.  Do you have any comments on this?</w:t>
            </w:r>
          </w:p>
        </w:tc>
      </w:tr>
      <w:tr w:rsidR="00003E05" w:rsidRPr="00E67EF9" w:rsidTr="00003E05">
        <w:trPr>
          <w:trHeight w:val="787"/>
        </w:trPr>
        <w:tc>
          <w:tcPr>
            <w:tcW w:w="10314" w:type="dxa"/>
            <w:shd w:val="clear" w:color="auto" w:fill="FFFFFF"/>
          </w:tcPr>
          <w:p w:rsid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003E05" w:rsidRPr="00E67EF9" w:rsidTr="00003E05">
        <w:trPr>
          <w:trHeight w:val="373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  <w:i/>
              </w:rPr>
            </w:pPr>
            <w:r w:rsidRPr="00003E05">
              <w:rPr>
                <w:rFonts w:cs="Arial"/>
                <w:i/>
              </w:rPr>
              <w:t xml:space="preserve">Route performance – </w:t>
            </w:r>
            <w:r>
              <w:rPr>
                <w:rFonts w:cs="Arial"/>
                <w:i/>
              </w:rPr>
              <w:t>freight</w:t>
            </w:r>
            <w:r w:rsidRPr="00003E05">
              <w:rPr>
                <w:rFonts w:cs="Arial"/>
                <w:i/>
              </w:rPr>
              <w:t xml:space="preserve"> market</w:t>
            </w:r>
          </w:p>
        </w:tc>
      </w:tr>
      <w:tr w:rsidR="00003E05" w:rsidRPr="00E67EF9" w:rsidTr="00003E05">
        <w:trPr>
          <w:trHeight w:val="373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 w:rsidRPr="00003E05">
              <w:rPr>
                <w:rFonts w:cs="Arial"/>
              </w:rPr>
              <w:t>Should ORR require measures on the FNPO scorecard, the geogr</w:t>
            </w:r>
            <w:r>
              <w:rPr>
                <w:rFonts w:cs="Arial"/>
              </w:rPr>
              <w:t>aphic route scorecards or both?</w:t>
            </w:r>
          </w:p>
        </w:tc>
      </w:tr>
      <w:tr w:rsidR="00003E05" w:rsidRPr="00E67EF9" w:rsidTr="00003E05">
        <w:trPr>
          <w:trHeight w:val="373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003E05" w:rsidRPr="00E67EF9" w:rsidTr="00003E05">
        <w:trPr>
          <w:trHeight w:val="373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4D35ED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 w:rsidRPr="00003E05">
              <w:rPr>
                <w:rFonts w:cs="Arial"/>
              </w:rPr>
              <w:t xml:space="preserve">Should ORR set a </w:t>
            </w:r>
            <w:r w:rsidR="004D35ED">
              <w:rPr>
                <w:rFonts w:cs="Arial"/>
              </w:rPr>
              <w:t>regulatory minimum</w:t>
            </w:r>
            <w:r w:rsidRPr="00003E05">
              <w:rPr>
                <w:rFonts w:cs="Arial"/>
              </w:rPr>
              <w:t xml:space="preserve"> floor in relation to freight performance as we propose to do for passenger performance?</w:t>
            </w:r>
          </w:p>
        </w:tc>
      </w:tr>
      <w:tr w:rsidR="00003E05" w:rsidRPr="00E67EF9" w:rsidTr="00003E05">
        <w:trPr>
          <w:trHeight w:val="373"/>
        </w:trPr>
        <w:tc>
          <w:tcPr>
            <w:tcW w:w="10314" w:type="dxa"/>
            <w:shd w:val="clear" w:color="auto" w:fill="FFFFFF"/>
          </w:tcPr>
          <w:p w:rsid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  <w:p w:rsidR="00BF49D7" w:rsidRPr="00003E05" w:rsidRDefault="00BF49D7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003E05" w:rsidRPr="00E67EF9" w:rsidTr="00003E05">
        <w:trPr>
          <w:trHeight w:val="373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 w:rsidRPr="00003E05">
              <w:rPr>
                <w:rFonts w:cs="Arial"/>
              </w:rPr>
              <w:t>Should FDM-R be used to provide a view of how well routes are delivering to freight (whether on geographic route scorecards or just as background monitoring data) or should a delay minutes measure be adopted/developed?</w:t>
            </w:r>
          </w:p>
        </w:tc>
      </w:tr>
      <w:tr w:rsidR="00003E05" w:rsidRPr="00E67EF9" w:rsidTr="00003E05">
        <w:trPr>
          <w:trHeight w:val="373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003E05" w:rsidRPr="00E67EF9" w:rsidTr="00003E05">
        <w:trPr>
          <w:trHeight w:val="373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A draft impact assessment is included in the annex to this document.  Do you have any comments on this?</w:t>
            </w:r>
          </w:p>
        </w:tc>
      </w:tr>
      <w:tr w:rsidR="00003E05" w:rsidRPr="00E67EF9" w:rsidTr="00003E05">
        <w:trPr>
          <w:trHeight w:val="373"/>
        </w:trPr>
        <w:tc>
          <w:tcPr>
            <w:tcW w:w="10314" w:type="dxa"/>
            <w:shd w:val="clear" w:color="auto" w:fill="FFFFFF"/>
          </w:tcPr>
          <w:p w:rsid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AF1FED" w:rsidRDefault="00AF1FED" w:rsidP="005864F7">
      <w:pPr>
        <w:rPr>
          <w:szCs w:val="24"/>
        </w:rPr>
      </w:pPr>
    </w:p>
    <w:p w:rsidR="00061F21" w:rsidRDefault="00061F21" w:rsidP="005864F7">
      <w:pPr>
        <w:rPr>
          <w:szCs w:val="24"/>
        </w:rPr>
      </w:pPr>
    </w:p>
    <w:p w:rsidR="00061F21" w:rsidRDefault="00061F21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AF1FED" w:rsidRPr="00E67EF9" w:rsidTr="00AF1FED">
        <w:trPr>
          <w:cantSplit/>
        </w:trPr>
        <w:tc>
          <w:tcPr>
            <w:tcW w:w="10314" w:type="dxa"/>
            <w:shd w:val="clear" w:color="auto" w:fill="FFFFFF"/>
          </w:tcPr>
          <w:p w:rsidR="00AF1FED" w:rsidRPr="00003E05" w:rsidRDefault="00003E05" w:rsidP="00AF1F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Section </w:t>
            </w:r>
            <w:r w:rsidR="00AF1FED">
              <w:rPr>
                <w:b/>
                <w:szCs w:val="24"/>
              </w:rPr>
              <w:t xml:space="preserve">6: </w:t>
            </w:r>
            <w:r>
              <w:rPr>
                <w:b/>
                <w:szCs w:val="24"/>
              </w:rPr>
              <w:t>Other customer measures</w:t>
            </w:r>
          </w:p>
        </w:tc>
      </w:tr>
      <w:tr w:rsidR="00AF1FED" w:rsidRPr="00E67EF9" w:rsidTr="00003E05">
        <w:trPr>
          <w:trHeight w:val="355"/>
        </w:trPr>
        <w:tc>
          <w:tcPr>
            <w:tcW w:w="10314" w:type="dxa"/>
            <w:shd w:val="clear" w:color="auto" w:fill="FFFFFF"/>
          </w:tcPr>
          <w:p w:rsidR="00AF1FED" w:rsidRPr="00003E05" w:rsidRDefault="00003E05" w:rsidP="00AF1FED">
            <w:pPr>
              <w:rPr>
                <w:i/>
              </w:rPr>
            </w:pPr>
            <w:r w:rsidRPr="00003E05">
              <w:rPr>
                <w:i/>
              </w:rPr>
              <w:t>End user experience - passenger</w:t>
            </w:r>
          </w:p>
        </w:tc>
      </w:tr>
      <w:tr w:rsidR="00003E05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 w:rsidRPr="00003E05">
              <w:rPr>
                <w:rFonts w:cs="Arial"/>
              </w:rPr>
              <w:t>Does the inclusion of these proposed</w:t>
            </w:r>
            <w:r>
              <w:rPr>
                <w:rFonts w:cs="Arial"/>
              </w:rPr>
              <w:t xml:space="preserve"> consistent</w:t>
            </w:r>
            <w:r w:rsidRPr="00003E05">
              <w:rPr>
                <w:rFonts w:cs="Arial"/>
              </w:rPr>
              <w:t xml:space="preserve"> passenger-related measures, collectively and individually, add value in terms of increasing the transparency and accountability of the impact of each route’s service delivery on the passenger experience?  </w:t>
            </w:r>
          </w:p>
        </w:tc>
      </w:tr>
      <w:tr w:rsidR="00003E05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003E05" w:rsidRPr="00E67EF9" w:rsidRDefault="00003E05" w:rsidP="00AF1FED"/>
        </w:tc>
      </w:tr>
      <w:tr w:rsidR="00003E05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 w:rsidRPr="000E00ED">
              <w:rPr>
                <w:rFonts w:cs="Arial"/>
              </w:rPr>
              <w:t xml:space="preserve">Noting that </w:t>
            </w:r>
            <w:r>
              <w:rPr>
                <w:rFonts w:cs="Arial"/>
              </w:rPr>
              <w:t>the managed station measure</w:t>
            </w:r>
            <w:r w:rsidRPr="000E00ED">
              <w:rPr>
                <w:rFonts w:cs="Arial"/>
              </w:rPr>
              <w:t xml:space="preserve"> would not apply to the Wales route, are there any other routes to which these measures</w:t>
            </w:r>
            <w:r>
              <w:rPr>
                <w:rFonts w:cs="Arial"/>
              </w:rPr>
              <w:t>, collectively or individually,</w:t>
            </w:r>
            <w:r w:rsidRPr="000E00ED">
              <w:rPr>
                <w:rFonts w:cs="Arial"/>
              </w:rPr>
              <w:t xml:space="preserve"> would not be relevant (or less relevant / add less value)?</w:t>
            </w:r>
          </w:p>
        </w:tc>
      </w:tr>
      <w:tr w:rsidR="00003E05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003E05" w:rsidRPr="00E67EF9" w:rsidRDefault="00003E05" w:rsidP="00AF1FED"/>
        </w:tc>
      </w:tr>
      <w:tr w:rsidR="00003E05" w:rsidRPr="00E67EF9" w:rsidTr="00003E05">
        <w:trPr>
          <w:trHeight w:val="877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 draft impact assessment is included in the annex to this document.  Do you have any comments on this?</w:t>
            </w:r>
          </w:p>
        </w:tc>
      </w:tr>
      <w:tr w:rsidR="00003E05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003E05" w:rsidRPr="00E67EF9" w:rsidTr="00003E05">
        <w:trPr>
          <w:trHeight w:val="517"/>
        </w:trPr>
        <w:tc>
          <w:tcPr>
            <w:tcW w:w="10314" w:type="dxa"/>
            <w:shd w:val="clear" w:color="auto" w:fill="FFFFFF"/>
          </w:tcPr>
          <w:p w:rsidR="00003E05" w:rsidRP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  <w:i/>
              </w:rPr>
            </w:pPr>
            <w:r w:rsidRPr="00003E05">
              <w:rPr>
                <w:rFonts w:cs="Arial"/>
                <w:i/>
              </w:rPr>
              <w:lastRenderedPageBreak/>
              <w:t xml:space="preserve">Use of the network – TOC/FOC </w:t>
            </w:r>
          </w:p>
        </w:tc>
      </w:tr>
      <w:tr w:rsidR="00003E05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 w:rsidRPr="7F069997">
              <w:rPr>
                <w:rFonts w:cs="Arial"/>
              </w:rPr>
              <w:t xml:space="preserve">Do you agree </w:t>
            </w:r>
            <w:r>
              <w:rPr>
                <w:rFonts w:cs="Arial"/>
              </w:rPr>
              <w:t>the volume incentive measures should be included as a scorecard measure to encourage Network Rail to support passenger and freight traffic growth? If</w:t>
            </w:r>
            <w:r w:rsidRPr="7F069997">
              <w:rPr>
                <w:rFonts w:cs="Arial"/>
              </w:rPr>
              <w:t xml:space="preserve"> no, please say why or suggest another form of measure we should consider?</w:t>
            </w:r>
          </w:p>
        </w:tc>
      </w:tr>
      <w:tr w:rsidR="00003E05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003E05" w:rsidRPr="00E67EF9" w:rsidTr="00003E05">
        <w:trPr>
          <w:trHeight w:val="535"/>
        </w:trPr>
        <w:tc>
          <w:tcPr>
            <w:tcW w:w="10314" w:type="dxa"/>
            <w:shd w:val="clear" w:color="auto" w:fill="FFFFFF"/>
          </w:tcPr>
          <w:p w:rsid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 w:rsidRPr="7F069997">
              <w:rPr>
                <w:rFonts w:cs="Arial"/>
              </w:rPr>
              <w:t xml:space="preserve">If yes, </w:t>
            </w:r>
            <w:r>
              <w:rPr>
                <w:rFonts w:cs="Arial"/>
              </w:rPr>
              <w:t>which of the freight and passenger metrics should be used?</w:t>
            </w:r>
          </w:p>
        </w:tc>
      </w:tr>
      <w:tr w:rsidR="00003E05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003E05" w:rsidRPr="00E67EF9" w:rsidTr="00003E05">
        <w:trPr>
          <w:trHeight w:val="1012"/>
        </w:trPr>
        <w:tc>
          <w:tcPr>
            <w:tcW w:w="10314" w:type="dxa"/>
            <w:shd w:val="clear" w:color="auto" w:fill="FFFFFF"/>
          </w:tcPr>
          <w:p w:rsid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 draft impact assessment is included in the annex to this document.  Do you have any comments on this?</w:t>
            </w:r>
          </w:p>
        </w:tc>
      </w:tr>
      <w:tr w:rsidR="00003E05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003E05" w:rsidRDefault="00003E05" w:rsidP="00003E05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AF1FED" w:rsidRDefault="00AF1FED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DE5E0A" w:rsidRPr="00E67EF9" w:rsidTr="00D85240">
        <w:trPr>
          <w:cantSplit/>
        </w:trPr>
        <w:tc>
          <w:tcPr>
            <w:tcW w:w="10314" w:type="dxa"/>
            <w:shd w:val="clear" w:color="auto" w:fill="FFFFFF"/>
          </w:tcPr>
          <w:p w:rsidR="00DE5E0A" w:rsidRPr="00003E05" w:rsidRDefault="00DE5E0A" w:rsidP="00DE5E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7: Investment</w:t>
            </w:r>
          </w:p>
        </w:tc>
      </w:tr>
      <w:tr w:rsidR="00DE5E0A" w:rsidRPr="00E67EF9" w:rsidTr="00DE5E0A">
        <w:trPr>
          <w:trHeight w:val="1057"/>
        </w:trPr>
        <w:tc>
          <w:tcPr>
            <w:tcW w:w="10314" w:type="dxa"/>
            <w:shd w:val="clear" w:color="auto" w:fill="FFFFFF"/>
          </w:tcPr>
          <w:p w:rsidR="00DE5E0A" w:rsidRPr="00003E05" w:rsidRDefault="00DE5E0A" w:rsidP="00D85240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What do you think should be measured in this area to support the objective of maximising new sources of funding, and ensuring that Network Rail treats these sources fairly?</w:t>
            </w:r>
          </w:p>
        </w:tc>
      </w:tr>
      <w:tr w:rsidR="00DE5E0A" w:rsidRPr="00E67EF9" w:rsidTr="00D85240">
        <w:trPr>
          <w:trHeight w:val="1320"/>
        </w:trPr>
        <w:tc>
          <w:tcPr>
            <w:tcW w:w="10314" w:type="dxa"/>
            <w:shd w:val="clear" w:color="auto" w:fill="FFFFFF"/>
          </w:tcPr>
          <w:p w:rsidR="00DE5E0A" w:rsidRPr="00E67EF9" w:rsidRDefault="00DE5E0A" w:rsidP="00D85240"/>
        </w:tc>
      </w:tr>
    </w:tbl>
    <w:p w:rsidR="00DE5E0A" w:rsidRDefault="00DE5E0A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DE5E0A" w:rsidRPr="00E67EF9" w:rsidTr="00D85240">
        <w:trPr>
          <w:cantSplit/>
        </w:trPr>
        <w:tc>
          <w:tcPr>
            <w:tcW w:w="10314" w:type="dxa"/>
            <w:shd w:val="clear" w:color="auto" w:fill="FFFFFF"/>
          </w:tcPr>
          <w:p w:rsidR="00DE5E0A" w:rsidRPr="00003E05" w:rsidRDefault="00DE5E0A" w:rsidP="00DE5E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Section 8: Other ‘output’ requirements</w:t>
            </w:r>
          </w:p>
        </w:tc>
      </w:tr>
      <w:tr w:rsidR="00DE5E0A" w:rsidRPr="00E67EF9" w:rsidTr="00D85240">
        <w:trPr>
          <w:trHeight w:val="1057"/>
        </w:trPr>
        <w:tc>
          <w:tcPr>
            <w:tcW w:w="10314" w:type="dxa"/>
            <w:shd w:val="clear" w:color="auto" w:fill="FFFFFF"/>
          </w:tcPr>
          <w:p w:rsidR="00DE5E0A" w:rsidRPr="00003E05" w:rsidRDefault="00DE5E0A" w:rsidP="00D85240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 draft impact assessment is included in the annex to this document.  Do you have any comments on this?</w:t>
            </w:r>
          </w:p>
        </w:tc>
      </w:tr>
      <w:tr w:rsidR="00DE5E0A" w:rsidRPr="00E67EF9" w:rsidTr="00DE5E0A">
        <w:trPr>
          <w:trHeight w:val="805"/>
        </w:trPr>
        <w:tc>
          <w:tcPr>
            <w:tcW w:w="10314" w:type="dxa"/>
            <w:shd w:val="clear" w:color="auto" w:fill="FFFFFF"/>
          </w:tcPr>
          <w:p w:rsidR="00DE5E0A" w:rsidRPr="00E67EF9" w:rsidRDefault="00DE5E0A" w:rsidP="00D85240"/>
        </w:tc>
      </w:tr>
      <w:tr w:rsidR="00DE5E0A" w:rsidRPr="00E67EF9" w:rsidTr="00DE5E0A">
        <w:trPr>
          <w:trHeight w:val="625"/>
        </w:trPr>
        <w:tc>
          <w:tcPr>
            <w:tcW w:w="10314" w:type="dxa"/>
            <w:shd w:val="clear" w:color="auto" w:fill="FFFFFF"/>
          </w:tcPr>
          <w:p w:rsidR="00DE5E0A" w:rsidRPr="00DE5E0A" w:rsidRDefault="00DE5E0A" w:rsidP="00DE5E0A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Do respondents have views on how our monitoring of capability should or could change?</w:t>
            </w:r>
          </w:p>
        </w:tc>
      </w:tr>
      <w:tr w:rsidR="00DE5E0A" w:rsidRPr="00E67EF9" w:rsidTr="00D85240">
        <w:trPr>
          <w:trHeight w:val="1320"/>
        </w:trPr>
        <w:tc>
          <w:tcPr>
            <w:tcW w:w="10314" w:type="dxa"/>
            <w:shd w:val="clear" w:color="auto" w:fill="FFFFFF"/>
          </w:tcPr>
          <w:p w:rsidR="00DE5E0A" w:rsidRPr="00DE5E0A" w:rsidRDefault="00DE5E0A" w:rsidP="00DE5E0A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DE5E0A" w:rsidRPr="00E67EF9" w:rsidTr="00DE5E0A">
        <w:trPr>
          <w:trHeight w:val="472"/>
        </w:trPr>
        <w:tc>
          <w:tcPr>
            <w:tcW w:w="10314" w:type="dxa"/>
            <w:shd w:val="clear" w:color="auto" w:fill="FFFFFF"/>
          </w:tcPr>
          <w:p w:rsidR="00DE5E0A" w:rsidRPr="00DE5E0A" w:rsidRDefault="00DE5E0A" w:rsidP="00DE5E0A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Do respondents have any proposals for how capacity issues should be reflected at route level?</w:t>
            </w:r>
          </w:p>
        </w:tc>
      </w:tr>
      <w:tr w:rsidR="00DE5E0A" w:rsidRPr="00E67EF9" w:rsidTr="00D85240">
        <w:trPr>
          <w:trHeight w:val="1320"/>
        </w:trPr>
        <w:tc>
          <w:tcPr>
            <w:tcW w:w="10314" w:type="dxa"/>
            <w:shd w:val="clear" w:color="auto" w:fill="FFFFFF"/>
          </w:tcPr>
          <w:p w:rsidR="00DE5E0A" w:rsidRPr="00DE5E0A" w:rsidRDefault="00DE5E0A" w:rsidP="00DE5E0A">
            <w:pPr>
              <w:pStyle w:val="Numberedparagraphdouble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DE5E0A" w:rsidRDefault="00DE5E0A" w:rsidP="005864F7">
      <w:pPr>
        <w:rPr>
          <w:szCs w:val="24"/>
        </w:rPr>
      </w:pPr>
    </w:p>
    <w:p w:rsidR="00DE5E0A" w:rsidRDefault="00DE5E0A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195B85" w:rsidRPr="00E67EF9" w:rsidTr="00195B85">
        <w:trPr>
          <w:cantSplit/>
        </w:trPr>
        <w:tc>
          <w:tcPr>
            <w:tcW w:w="10314" w:type="dxa"/>
            <w:shd w:val="clear" w:color="auto" w:fill="FFFFFF"/>
          </w:tcPr>
          <w:p w:rsidR="00195B85" w:rsidRPr="00195B85" w:rsidRDefault="00195B85" w:rsidP="00195B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Any other points that you would like to make</w:t>
            </w:r>
          </w:p>
        </w:tc>
      </w:tr>
      <w:tr w:rsidR="00195B85" w:rsidRPr="00E67EF9" w:rsidTr="00195B85">
        <w:trPr>
          <w:trHeight w:val="1320"/>
        </w:trPr>
        <w:tc>
          <w:tcPr>
            <w:tcW w:w="10314" w:type="dxa"/>
            <w:shd w:val="clear" w:color="auto" w:fill="FFFFFF"/>
          </w:tcPr>
          <w:p w:rsidR="00820A2C" w:rsidRPr="00E67EF9" w:rsidRDefault="00820A2C" w:rsidP="00195B85"/>
        </w:tc>
      </w:tr>
    </w:tbl>
    <w:p w:rsidR="00195B85" w:rsidRDefault="00195B85" w:rsidP="005864F7">
      <w:pPr>
        <w:rPr>
          <w:szCs w:val="24"/>
        </w:rPr>
      </w:pPr>
    </w:p>
    <w:p w:rsidR="00434419" w:rsidRDefault="00195B85" w:rsidP="005864F7">
      <w:pPr>
        <w:rPr>
          <w:szCs w:val="24"/>
        </w:rPr>
      </w:pPr>
      <w:r>
        <w:rPr>
          <w:szCs w:val="24"/>
        </w:rPr>
        <w:t>Thank you for taking the time to respond.</w:t>
      </w:r>
    </w:p>
    <w:p w:rsidR="00434419" w:rsidRPr="00E67EF9" w:rsidRDefault="00434419" w:rsidP="005864F7">
      <w:pPr>
        <w:rPr>
          <w:szCs w:val="24"/>
        </w:rPr>
      </w:pPr>
    </w:p>
    <w:p w:rsidR="00FB627D" w:rsidRPr="00E67EF9" w:rsidRDefault="00FB627D" w:rsidP="005864F7">
      <w:pPr>
        <w:rPr>
          <w:szCs w:val="24"/>
        </w:rPr>
      </w:pPr>
    </w:p>
    <w:p w:rsidR="005864F7" w:rsidRDefault="005864F7" w:rsidP="005864F7">
      <w:pPr>
        <w:rPr>
          <w:b/>
          <w:szCs w:val="24"/>
        </w:rPr>
      </w:pPr>
    </w:p>
    <w:sectPr w:rsidR="005864F7" w:rsidSect="00195B85">
      <w:pgSz w:w="11906" w:h="16838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CA" w:rsidRDefault="00AB67CA">
      <w:r>
        <w:separator/>
      </w:r>
    </w:p>
  </w:endnote>
  <w:endnote w:type="continuationSeparator" w:id="0">
    <w:p w:rsidR="00AB67CA" w:rsidRDefault="00AB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CA" w:rsidRDefault="00AB67CA">
      <w:r>
        <w:separator/>
      </w:r>
    </w:p>
  </w:footnote>
  <w:footnote w:type="continuationSeparator" w:id="0">
    <w:p w:rsidR="00AB67CA" w:rsidRDefault="00AB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2C8"/>
    <w:multiLevelType w:val="multilevel"/>
    <w:tmpl w:val="9C005A04"/>
    <w:name w:val="ORRDoubleNumbers2322"/>
    <w:styleLink w:val="ORRNumberings"/>
    <w:lvl w:ilvl="0">
      <w:start w:val="1"/>
      <w:numFmt w:val="decimal"/>
      <w:pStyle w:val="Heading2doubl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00476B"/>
        <w:sz w:val="40"/>
      </w:rPr>
    </w:lvl>
    <w:lvl w:ilvl="1">
      <w:start w:val="1"/>
      <w:numFmt w:val="decimal"/>
      <w:pStyle w:val="Numberedparagraphdouble"/>
      <w:lvlText w:val="%1.%2"/>
      <w:lvlJc w:val="left"/>
      <w:pPr>
        <w:tabs>
          <w:tab w:val="num" w:pos="567"/>
        </w:tabs>
        <w:ind w:left="567" w:hanging="567"/>
      </w:pPr>
      <w:rPr>
        <w:sz w:val="24"/>
      </w:rPr>
    </w:lvl>
    <w:lvl w:ilvl="2">
      <w:start w:val="1"/>
      <w:numFmt w:val="bullet"/>
      <w:lvlText w:val=""/>
      <w:lvlJc w:val="left"/>
      <w:pPr>
        <w:tabs>
          <w:tab w:val="num" w:pos="1247"/>
        </w:tabs>
        <w:ind w:left="1134" w:hanging="567"/>
      </w:pPr>
      <w:rPr>
        <w:rFonts w:ascii="Wingdings" w:hAnsi="Wingdings" w:hint="default"/>
        <w:color w:val="731472"/>
        <w:sz w:val="24"/>
      </w:rPr>
    </w:lvl>
    <w:lvl w:ilvl="3">
      <w:start w:val="1"/>
      <w:numFmt w:val="bullet"/>
      <w:lvlText w:val="­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  <w:color w:val="731472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567"/>
      </w:p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731472"/>
      </w:rPr>
    </w:lvl>
    <w:lvl w:ilvl="7">
      <w:start w:val="1"/>
      <w:numFmt w:val="upperLetter"/>
      <w:lvlText w:val="(%8)"/>
      <w:lvlJc w:val="left"/>
      <w:pPr>
        <w:tabs>
          <w:tab w:val="num" w:pos="2268"/>
        </w:tabs>
        <w:ind w:left="2268" w:hanging="567"/>
      </w:pPr>
      <w:rPr>
        <w:rFonts w:hint="default"/>
        <w:color w:val="000000"/>
      </w:rPr>
    </w:lvl>
    <w:lvl w:ilvl="8">
      <w:start w:val="1"/>
      <w:numFmt w:val="decimal"/>
      <w:lvlText w:val="(%9)"/>
      <w:lvlJc w:val="left"/>
      <w:pPr>
        <w:tabs>
          <w:tab w:val="num" w:pos="2835"/>
        </w:tabs>
        <w:ind w:left="2835" w:hanging="567"/>
      </w:pPr>
      <w:rPr>
        <w:rFonts w:hint="default"/>
        <w:color w:val="000000"/>
      </w:rPr>
    </w:lvl>
  </w:abstractNum>
  <w:abstractNum w:abstractNumId="1" w15:restartNumberingAfterBreak="0">
    <w:nsid w:val="2576589D"/>
    <w:multiLevelType w:val="hybridMultilevel"/>
    <w:tmpl w:val="0358B4FA"/>
    <w:lvl w:ilvl="0" w:tplc="B5D8CC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Heading2double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color w:val="00476B"/>
          <w:sz w:val="40"/>
        </w:rPr>
      </w:lvl>
    </w:lvlOverride>
    <w:lvlOverride w:ilvl="1">
      <w:lvl w:ilvl="1">
        <w:start w:val="1"/>
        <w:numFmt w:val="decimal"/>
        <w:pStyle w:val="Numberedparagraphdouble"/>
        <w:lvlText w:val="%1.%2"/>
        <w:lvlJc w:val="left"/>
        <w:pPr>
          <w:tabs>
            <w:tab w:val="num" w:pos="567"/>
          </w:tabs>
          <w:ind w:left="567" w:hanging="567"/>
        </w:pPr>
        <w:rPr>
          <w:sz w:val="24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1247"/>
          </w:tabs>
          <w:ind w:left="1134" w:hanging="567"/>
        </w:pPr>
        <w:rPr>
          <w:rFonts w:ascii="Wingdings" w:hAnsi="Wingdings" w:hint="default"/>
          <w:color w:val="731472"/>
          <w:sz w:val="24"/>
        </w:rPr>
      </w:lvl>
    </w:lvlOverride>
    <w:lvlOverride w:ilvl="3">
      <w:lvl w:ilvl="3">
        <w:start w:val="1"/>
        <w:numFmt w:val="bullet"/>
        <w:lvlText w:val="­"/>
        <w:lvlJc w:val="left"/>
        <w:pPr>
          <w:tabs>
            <w:tab w:val="num" w:pos="1701"/>
          </w:tabs>
          <w:ind w:left="1701" w:hanging="567"/>
        </w:pPr>
        <w:rPr>
          <w:rFonts w:ascii="Courier New" w:hAnsi="Courier New" w:hint="default"/>
          <w:color w:val="73147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34"/>
          </w:tabs>
          <w:ind w:left="1134" w:hanging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bullet"/>
        <w:lvlText w:val=""/>
        <w:lvlJc w:val="left"/>
        <w:pPr>
          <w:tabs>
            <w:tab w:val="num" w:pos="2268"/>
          </w:tabs>
          <w:ind w:left="2268" w:hanging="567"/>
        </w:pPr>
        <w:rPr>
          <w:rFonts w:ascii="Wingdings" w:hAnsi="Wingdings" w:hint="default"/>
          <w:color w:val="731472"/>
        </w:rPr>
      </w:lvl>
    </w:lvlOverride>
    <w:lvlOverride w:ilvl="7">
      <w:lvl w:ilvl="7">
        <w:start w:val="1"/>
        <w:numFmt w:val="upperLetter"/>
        <w:lvlText w:val="(%8)"/>
        <w:lvlJc w:val="left"/>
        <w:pPr>
          <w:tabs>
            <w:tab w:val="num" w:pos="2268"/>
          </w:tabs>
          <w:ind w:left="2268" w:hanging="567"/>
        </w:pPr>
        <w:rPr>
          <w:rFonts w:hint="default"/>
          <w:color w:val="000000" w:themeColor="text1"/>
        </w:rPr>
      </w:lvl>
    </w:lvlOverride>
    <w:lvlOverride w:ilvl="8">
      <w:lvl w:ilvl="8">
        <w:start w:val="1"/>
        <w:numFmt w:val="decimal"/>
        <w:lvlText w:val="(%9)"/>
        <w:lvlJc w:val="left"/>
        <w:pPr>
          <w:tabs>
            <w:tab w:val="num" w:pos="2835"/>
          </w:tabs>
          <w:ind w:left="2835" w:hanging="567"/>
        </w:pPr>
        <w:rPr>
          <w:rFonts w:hint="default"/>
          <w:color w:val="000000" w:themeColor="text1"/>
        </w:rPr>
      </w:lvl>
    </w:lvlOverride>
  </w:num>
  <w:num w:numId="4">
    <w:abstractNumId w:val="0"/>
    <w:lvlOverride w:ilvl="0">
      <w:lvl w:ilvl="0">
        <w:start w:val="1"/>
        <w:numFmt w:val="decimal"/>
        <w:pStyle w:val="Heading2double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color w:val="00476B"/>
          <w:sz w:val="40"/>
        </w:rPr>
      </w:lvl>
    </w:lvlOverride>
    <w:lvlOverride w:ilvl="1">
      <w:lvl w:ilvl="1">
        <w:start w:val="1"/>
        <w:numFmt w:val="decimal"/>
        <w:pStyle w:val="Numberedparagraphdouble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1247"/>
          </w:tabs>
          <w:ind w:left="1134" w:hanging="567"/>
        </w:pPr>
        <w:rPr>
          <w:rFonts w:ascii="Wingdings" w:hAnsi="Wingdings" w:hint="default"/>
          <w:color w:val="731472"/>
          <w:sz w:val="24"/>
        </w:rPr>
      </w:lvl>
    </w:lvlOverride>
    <w:lvlOverride w:ilvl="3">
      <w:lvl w:ilvl="3">
        <w:start w:val="1"/>
        <w:numFmt w:val="bullet"/>
        <w:lvlText w:val="­"/>
        <w:lvlJc w:val="left"/>
        <w:pPr>
          <w:tabs>
            <w:tab w:val="num" w:pos="1701"/>
          </w:tabs>
          <w:ind w:left="1701" w:hanging="567"/>
        </w:pPr>
        <w:rPr>
          <w:rFonts w:ascii="Courier New" w:hAnsi="Courier New" w:hint="default"/>
          <w:color w:val="73147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bullet"/>
        <w:lvlText w:val=""/>
        <w:lvlJc w:val="left"/>
        <w:pPr>
          <w:tabs>
            <w:tab w:val="num" w:pos="2268"/>
          </w:tabs>
          <w:ind w:left="2268" w:hanging="567"/>
        </w:pPr>
        <w:rPr>
          <w:rFonts w:ascii="Wingdings" w:hAnsi="Wingdings" w:hint="default"/>
          <w:color w:val="731472"/>
        </w:rPr>
      </w:lvl>
    </w:lvlOverride>
    <w:lvlOverride w:ilvl="7">
      <w:lvl w:ilvl="7">
        <w:start w:val="1"/>
        <w:numFmt w:val="upperLetter"/>
        <w:lvlText w:val="(%8)"/>
        <w:lvlJc w:val="left"/>
        <w:pPr>
          <w:tabs>
            <w:tab w:val="num" w:pos="2268"/>
          </w:tabs>
          <w:ind w:left="2268" w:hanging="567"/>
        </w:pPr>
        <w:rPr>
          <w:rFonts w:hint="default"/>
          <w:color w:val="000000" w:themeColor="text1"/>
        </w:rPr>
      </w:lvl>
    </w:lvlOverride>
    <w:lvlOverride w:ilvl="8">
      <w:lvl w:ilvl="8">
        <w:start w:val="1"/>
        <w:numFmt w:val="decimal"/>
        <w:lvlText w:val="(%9)"/>
        <w:lvlJc w:val="left"/>
        <w:pPr>
          <w:tabs>
            <w:tab w:val="num" w:pos="2835"/>
          </w:tabs>
          <w:ind w:left="2835" w:hanging="567"/>
        </w:pPr>
        <w:rPr>
          <w:rFonts w:hint="default"/>
          <w:color w:val="000000" w:themeColor="text1"/>
        </w:rPr>
      </w:lvl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1"/>
    <w:rsid w:val="00003E05"/>
    <w:rsid w:val="00025F73"/>
    <w:rsid w:val="0005794F"/>
    <w:rsid w:val="00061F21"/>
    <w:rsid w:val="000831BC"/>
    <w:rsid w:val="000A0DC5"/>
    <w:rsid w:val="000A39AB"/>
    <w:rsid w:val="000B1C9D"/>
    <w:rsid w:val="000B2A68"/>
    <w:rsid w:val="001449D3"/>
    <w:rsid w:val="00195B85"/>
    <w:rsid w:val="001A5624"/>
    <w:rsid w:val="001B6E4F"/>
    <w:rsid w:val="00221F2D"/>
    <w:rsid w:val="00234100"/>
    <w:rsid w:val="00241213"/>
    <w:rsid w:val="002B63B8"/>
    <w:rsid w:val="002F39E8"/>
    <w:rsid w:val="002F5600"/>
    <w:rsid w:val="00336B0C"/>
    <w:rsid w:val="00353EED"/>
    <w:rsid w:val="003905D7"/>
    <w:rsid w:val="00391F23"/>
    <w:rsid w:val="003A5DD1"/>
    <w:rsid w:val="003F40AC"/>
    <w:rsid w:val="00430EB0"/>
    <w:rsid w:val="00434419"/>
    <w:rsid w:val="00434772"/>
    <w:rsid w:val="00441B9D"/>
    <w:rsid w:val="00446BB8"/>
    <w:rsid w:val="004500A1"/>
    <w:rsid w:val="004502AD"/>
    <w:rsid w:val="00475736"/>
    <w:rsid w:val="00491B06"/>
    <w:rsid w:val="004A6289"/>
    <w:rsid w:val="004C58B7"/>
    <w:rsid w:val="004D35ED"/>
    <w:rsid w:val="004F7C9A"/>
    <w:rsid w:val="00503F7B"/>
    <w:rsid w:val="005864F7"/>
    <w:rsid w:val="005C25D6"/>
    <w:rsid w:val="005C754B"/>
    <w:rsid w:val="00627E72"/>
    <w:rsid w:val="00642E76"/>
    <w:rsid w:val="00661378"/>
    <w:rsid w:val="006E5F90"/>
    <w:rsid w:val="00730481"/>
    <w:rsid w:val="00744820"/>
    <w:rsid w:val="00773A23"/>
    <w:rsid w:val="007B5C09"/>
    <w:rsid w:val="007F02F1"/>
    <w:rsid w:val="007F61E7"/>
    <w:rsid w:val="00820A2C"/>
    <w:rsid w:val="00896292"/>
    <w:rsid w:val="008A1B86"/>
    <w:rsid w:val="008D0466"/>
    <w:rsid w:val="0090742C"/>
    <w:rsid w:val="00935E78"/>
    <w:rsid w:val="009671F2"/>
    <w:rsid w:val="009722CE"/>
    <w:rsid w:val="009B45D1"/>
    <w:rsid w:val="009D08EC"/>
    <w:rsid w:val="00A24DC8"/>
    <w:rsid w:val="00A874E0"/>
    <w:rsid w:val="00AA2A27"/>
    <w:rsid w:val="00AB67CA"/>
    <w:rsid w:val="00AB7AC1"/>
    <w:rsid w:val="00AF1FED"/>
    <w:rsid w:val="00B23A0F"/>
    <w:rsid w:val="00BA6729"/>
    <w:rsid w:val="00BB3040"/>
    <w:rsid w:val="00BC24A0"/>
    <w:rsid w:val="00BF49D7"/>
    <w:rsid w:val="00C22BD3"/>
    <w:rsid w:val="00C41711"/>
    <w:rsid w:val="00D04C68"/>
    <w:rsid w:val="00D85240"/>
    <w:rsid w:val="00DA4BD5"/>
    <w:rsid w:val="00DC42EA"/>
    <w:rsid w:val="00DD1D57"/>
    <w:rsid w:val="00DD53EF"/>
    <w:rsid w:val="00DE5E0A"/>
    <w:rsid w:val="00E833D5"/>
    <w:rsid w:val="00E842B7"/>
    <w:rsid w:val="00F40E42"/>
    <w:rsid w:val="00F641B8"/>
    <w:rsid w:val="00F67D4A"/>
    <w:rsid w:val="00F77656"/>
    <w:rsid w:val="00FA29BC"/>
    <w:rsid w:val="00FB627D"/>
    <w:rsid w:val="00FC585E"/>
    <w:rsid w:val="00FE77DA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E4654-5B71-468E-A4F5-2622136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B7"/>
    <w:pPr>
      <w:spacing w:before="120" w:after="120"/>
    </w:pPr>
    <w:rPr>
      <w:rFonts w:ascii="Arial" w:hAnsi="Arial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0A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5D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2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B627D"/>
    <w:pPr>
      <w:keepLines/>
      <w:spacing w:before="200" w:after="0"/>
      <w:outlineLvl w:val="4"/>
    </w:pPr>
    <w:rPr>
      <w:rFonts w:ascii="Arial" w:hAnsi="Arial"/>
      <w:bCs w:val="0"/>
      <w:iCs/>
      <w:color w:val="00476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4F7"/>
    <w:rPr>
      <w:rFonts w:ascii="Arial" w:hAnsi="Arial"/>
      <w:color w:val="0000FF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5864F7"/>
  </w:style>
  <w:style w:type="character" w:styleId="FootnoteReference">
    <w:name w:val="footnote reference"/>
    <w:semiHidden/>
    <w:rsid w:val="005864F7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5864F7"/>
    <w:rPr>
      <w:lang w:eastAsia="en-GB"/>
    </w:rPr>
  </w:style>
  <w:style w:type="character" w:customStyle="1" w:styleId="CommentTextChar">
    <w:name w:val="Comment Text Char"/>
    <w:link w:val="CommentText"/>
    <w:semiHidden/>
    <w:rsid w:val="005864F7"/>
    <w:rPr>
      <w:rFonts w:ascii="Arial" w:hAnsi="Arial" w:cs="Arial"/>
      <w:sz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864F7"/>
    <w:rPr>
      <w:rFonts w:ascii="Arial" w:hAnsi="Arial" w:cs="Arial"/>
      <w:sz w:val="24"/>
      <w:lang w:val="en-GB" w:eastAsia="en-US" w:bidi="ar-SA"/>
    </w:rPr>
  </w:style>
  <w:style w:type="paragraph" w:styleId="ListParagraph">
    <w:name w:val="List Paragraph"/>
    <w:basedOn w:val="Normal"/>
    <w:qFormat/>
    <w:rsid w:val="005864F7"/>
    <w:pPr>
      <w:ind w:left="720"/>
    </w:pPr>
    <w:rPr>
      <w:rFonts w:ascii="Times New Roman" w:hAnsi="Times New Roman" w:cs="Times New Roman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3F40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F40A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F40A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3F4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AC"/>
    <w:rPr>
      <w:b/>
      <w:bCs/>
      <w:sz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F40AC"/>
    <w:rPr>
      <w:rFonts w:ascii="Arial" w:hAnsi="Arial" w:cs="Arial"/>
      <w:b/>
      <w:bCs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0AC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FB627D"/>
    <w:rPr>
      <w:rFonts w:ascii="Arial" w:hAnsi="Arial"/>
      <w:b/>
      <w:iCs/>
      <w:color w:val="00476B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FB62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3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graphdouble">
    <w:name w:val="Numbered paragraph (double)"/>
    <w:link w:val="NumberedparagraphdoubleChar"/>
    <w:rsid w:val="009B45D1"/>
    <w:pPr>
      <w:numPr>
        <w:ilvl w:val="1"/>
        <w:numId w:val="2"/>
      </w:numPr>
      <w:spacing w:before="240" w:after="200" w:line="288" w:lineRule="auto"/>
    </w:pPr>
    <w:rPr>
      <w:rFonts w:ascii="Arial" w:eastAsia="MS Gothic" w:hAnsi="Arial"/>
      <w:color w:val="000000"/>
      <w:sz w:val="24"/>
      <w:szCs w:val="26"/>
      <w:lang w:val="en-GB"/>
    </w:rPr>
  </w:style>
  <w:style w:type="character" w:customStyle="1" w:styleId="NumberedparagraphdoubleChar">
    <w:name w:val="Numbered paragraph (double) Char"/>
    <w:link w:val="Numberedparagraphdouble"/>
    <w:rsid w:val="009B45D1"/>
    <w:rPr>
      <w:rFonts w:ascii="Arial" w:eastAsia="MS Gothic" w:hAnsi="Arial"/>
      <w:color w:val="000000"/>
      <w:sz w:val="24"/>
      <w:szCs w:val="26"/>
      <w:lang w:eastAsia="en-US"/>
    </w:rPr>
  </w:style>
  <w:style w:type="paragraph" w:customStyle="1" w:styleId="Heading2double">
    <w:name w:val="Heading 2 (double)"/>
    <w:basedOn w:val="Heading2"/>
    <w:next w:val="Numberedparagraphdouble"/>
    <w:rsid w:val="009B45D1"/>
    <w:pPr>
      <w:keepLines/>
      <w:pageBreakBefore/>
      <w:numPr>
        <w:numId w:val="2"/>
      </w:numPr>
      <w:tabs>
        <w:tab w:val="clear" w:pos="567"/>
        <w:tab w:val="num" w:pos="360"/>
      </w:tabs>
      <w:spacing w:before="0" w:after="240"/>
      <w:ind w:left="0" w:firstLine="0"/>
    </w:pPr>
    <w:rPr>
      <w:rFonts w:ascii="Arial" w:hAnsi="Arial"/>
      <w:i w:val="0"/>
      <w:iCs w:val="0"/>
      <w:color w:val="00476B"/>
      <w:sz w:val="40"/>
      <w:szCs w:val="26"/>
    </w:rPr>
  </w:style>
  <w:style w:type="numbering" w:customStyle="1" w:styleId="ORRNumberings">
    <w:name w:val="ORRNumberings"/>
    <w:uiPriority w:val="99"/>
    <w:rsid w:val="009B45D1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semiHidden/>
    <w:rsid w:val="009B45D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18@or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FA5B-3008-44D9-A676-E4ABA920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ORR’s initial consultation on the 2018 periodic review of Network Rail (PR18)</vt:lpstr>
    </vt:vector>
  </TitlesOfParts>
  <Company>Office of Rail and Road</Company>
  <LinksUpToDate>false</LinksUpToDate>
  <CharactersWithSpaces>4841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mailto:PR18@orr.gsi.gov.uk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ORR’s initial consultation on the 2018 periodic review of Network Rail (PR18)</dc:title>
  <dc:subject/>
  <dc:creator>Office of Rail and Road</dc:creator>
  <cp:keywords/>
  <cp:lastModifiedBy>Dingwall, David</cp:lastModifiedBy>
  <cp:revision>2</cp:revision>
  <dcterms:created xsi:type="dcterms:W3CDTF">2017-07-26T14:42:00Z</dcterms:created>
  <dcterms:modified xsi:type="dcterms:W3CDTF">2017-07-26T14:42:00Z</dcterms:modified>
</cp:coreProperties>
</file>