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4F7" w:rsidRPr="009F2111" w:rsidRDefault="00D126F4" w:rsidP="009F2111">
      <w:pPr>
        <w:rPr>
          <w:b/>
          <w:szCs w:val="24"/>
        </w:rPr>
      </w:pPr>
      <w:r w:rsidRPr="009F2111">
        <w:rPr>
          <w:b/>
          <w:i/>
          <w:iCs/>
          <w:noProof/>
          <w:color w:val="000000"/>
          <w:szCs w:val="24"/>
          <w:lang w:eastAsia="en-GB"/>
        </w:rPr>
        <w:drawing>
          <wp:anchor distT="0" distB="0" distL="114300" distR="114300" simplePos="0" relativeHeight="251657728" behindDoc="0" locked="0" layoutInCell="1" allowOverlap="0">
            <wp:simplePos x="0" y="0"/>
            <wp:positionH relativeFrom="column">
              <wp:posOffset>5007610</wp:posOffset>
            </wp:positionH>
            <wp:positionV relativeFrom="paragraph">
              <wp:posOffset>-546735</wp:posOffset>
            </wp:positionV>
            <wp:extent cx="1450975" cy="701040"/>
            <wp:effectExtent l="0" t="0" r="0" b="0"/>
            <wp:wrapSquare wrapText="bothSides"/>
            <wp:docPr id="4" name="Picture 4" descr="Office of Rail and Ro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ffice of Rail and Road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0975" cy="701040"/>
                    </a:xfrm>
                    <a:prstGeom prst="rect">
                      <a:avLst/>
                    </a:prstGeom>
                    <a:noFill/>
                  </pic:spPr>
                </pic:pic>
              </a:graphicData>
            </a:graphic>
            <wp14:sizeRelH relativeFrom="page">
              <wp14:pctWidth>0</wp14:pctWidth>
            </wp14:sizeRelH>
            <wp14:sizeRelV relativeFrom="page">
              <wp14:pctHeight>0</wp14:pctHeight>
            </wp14:sizeRelV>
          </wp:anchor>
        </w:drawing>
      </w:r>
      <w:r w:rsidR="00CB7B27" w:rsidRPr="009F2111">
        <w:rPr>
          <w:b/>
          <w:szCs w:val="24"/>
        </w:rPr>
        <w:t>Second consultation on the PR18 financial framework</w:t>
      </w:r>
      <w:r w:rsidR="00B559C6" w:rsidRPr="009F2111">
        <w:rPr>
          <w:b/>
          <w:szCs w:val="24"/>
        </w:rPr>
        <w:t>:</w:t>
      </w:r>
      <w:r w:rsidR="00CB7B27" w:rsidRPr="009F2111">
        <w:rPr>
          <w:b/>
          <w:szCs w:val="24"/>
        </w:rPr>
        <w:br/>
      </w:r>
      <w:r w:rsidR="00B559C6" w:rsidRPr="009F2111">
        <w:rPr>
          <w:b/>
          <w:szCs w:val="24"/>
        </w:rPr>
        <w:t>Pro-forma for responses</w:t>
      </w:r>
    </w:p>
    <w:p w:rsidR="004C58B7" w:rsidRPr="004C58B7" w:rsidRDefault="004C58B7" w:rsidP="004C58B7">
      <w:r>
        <w:t xml:space="preserve">This pro-forma is available to those that wish to use it to respond to our consultation. </w:t>
      </w:r>
      <w:r w:rsidR="00820A2C">
        <w:t xml:space="preserve">Other forms of response (e.g. letter format) are equally welcome. </w:t>
      </w:r>
    </w:p>
    <w:p w:rsidR="00195B85" w:rsidRPr="00BC24A0" w:rsidRDefault="00195B85" w:rsidP="00195B85">
      <w:r>
        <w:t xml:space="preserve">Please send your response to </w:t>
      </w:r>
      <w:hyperlink r:id="rId9" w:history="1">
        <w:r w:rsidR="00820A2C">
          <w:rPr>
            <w:rStyle w:val="Hyperlink"/>
          </w:rPr>
          <w:t>pr18@orr.gsi.gov.uk</w:t>
        </w:r>
      </w:hyperlink>
      <w:r>
        <w:t xml:space="preserve"> by </w:t>
      </w:r>
      <w:bookmarkStart w:id="0" w:name="_GoBack"/>
      <w:r w:rsidR="00E50B53" w:rsidRPr="00E50B53">
        <w:rPr>
          <w:b/>
        </w:rPr>
        <w:t>24</w:t>
      </w:r>
      <w:r w:rsidR="00CB7B27" w:rsidRPr="00E50B53">
        <w:rPr>
          <w:b/>
        </w:rPr>
        <w:t xml:space="preserve"> April</w:t>
      </w:r>
      <w:r w:rsidRPr="00CB7B27">
        <w:rPr>
          <w:b/>
        </w:rPr>
        <w:t xml:space="preserve"> </w:t>
      </w:r>
      <w:bookmarkEnd w:id="0"/>
      <w:r w:rsidRPr="00CB7B27">
        <w:rPr>
          <w:b/>
        </w:rPr>
        <w:t>201</w:t>
      </w:r>
      <w:r w:rsidR="00CB7B27" w:rsidRPr="00CB7B27">
        <w:rPr>
          <w:b/>
        </w:rPr>
        <w:t>8</w:t>
      </w:r>
      <w:r>
        <w:t xml:space="preserve">. </w:t>
      </w:r>
    </w:p>
    <w:p w:rsidR="003F40AC" w:rsidRPr="00E67EF9" w:rsidRDefault="003F40AC" w:rsidP="005864F7">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5"/>
        <w:gridCol w:w="7269"/>
      </w:tblGrid>
      <w:tr w:rsidR="00234100" w:rsidRPr="00F40E42" w:rsidTr="00F40E42">
        <w:tc>
          <w:tcPr>
            <w:tcW w:w="2943" w:type="dxa"/>
            <w:shd w:val="clear" w:color="auto" w:fill="auto"/>
          </w:tcPr>
          <w:p w:rsidR="00234100" w:rsidRPr="00F40E42" w:rsidRDefault="00234100" w:rsidP="00F40E42">
            <w:pPr>
              <w:pStyle w:val="CommentText"/>
              <w:spacing w:before="40" w:after="40"/>
              <w:rPr>
                <w:b/>
                <w:szCs w:val="24"/>
              </w:rPr>
            </w:pPr>
            <w:r w:rsidRPr="00F40E42">
              <w:rPr>
                <w:b/>
                <w:szCs w:val="24"/>
              </w:rPr>
              <w:t>Full name</w:t>
            </w:r>
          </w:p>
        </w:tc>
        <w:tc>
          <w:tcPr>
            <w:tcW w:w="7371" w:type="dxa"/>
            <w:shd w:val="clear" w:color="auto" w:fill="auto"/>
          </w:tcPr>
          <w:p w:rsidR="00234100" w:rsidRPr="00F40E42" w:rsidRDefault="00234100" w:rsidP="00F40E42">
            <w:pPr>
              <w:pStyle w:val="CommentText"/>
              <w:spacing w:before="40" w:after="40"/>
              <w:rPr>
                <w:szCs w:val="24"/>
              </w:rPr>
            </w:pPr>
          </w:p>
        </w:tc>
      </w:tr>
      <w:tr w:rsidR="00234100" w:rsidRPr="00F40E42" w:rsidTr="00F40E42">
        <w:tc>
          <w:tcPr>
            <w:tcW w:w="2943" w:type="dxa"/>
            <w:shd w:val="clear" w:color="auto" w:fill="auto"/>
          </w:tcPr>
          <w:p w:rsidR="00234100" w:rsidRPr="00F40E42" w:rsidRDefault="00234100" w:rsidP="00F40E42">
            <w:pPr>
              <w:spacing w:before="40" w:after="40"/>
              <w:rPr>
                <w:b/>
                <w:szCs w:val="24"/>
              </w:rPr>
            </w:pPr>
            <w:r w:rsidRPr="00F40E42">
              <w:rPr>
                <w:b/>
                <w:szCs w:val="24"/>
              </w:rPr>
              <w:t>Job title</w:t>
            </w:r>
          </w:p>
        </w:tc>
        <w:tc>
          <w:tcPr>
            <w:tcW w:w="7371" w:type="dxa"/>
            <w:shd w:val="clear" w:color="auto" w:fill="auto"/>
          </w:tcPr>
          <w:p w:rsidR="00234100" w:rsidRPr="00F40E42" w:rsidRDefault="00234100" w:rsidP="00F40E42">
            <w:pPr>
              <w:spacing w:before="40" w:after="40"/>
              <w:rPr>
                <w:szCs w:val="24"/>
              </w:rPr>
            </w:pPr>
          </w:p>
        </w:tc>
      </w:tr>
      <w:tr w:rsidR="00234100" w:rsidRPr="00F40E42" w:rsidTr="00F40E42">
        <w:tc>
          <w:tcPr>
            <w:tcW w:w="2943" w:type="dxa"/>
            <w:shd w:val="clear" w:color="auto" w:fill="auto"/>
          </w:tcPr>
          <w:p w:rsidR="00234100" w:rsidRPr="00F40E42" w:rsidRDefault="00234100" w:rsidP="00F40E42">
            <w:pPr>
              <w:spacing w:before="40" w:after="40"/>
              <w:rPr>
                <w:b/>
                <w:szCs w:val="24"/>
              </w:rPr>
            </w:pPr>
            <w:r w:rsidRPr="00F40E42">
              <w:rPr>
                <w:b/>
                <w:szCs w:val="24"/>
              </w:rPr>
              <w:t>Organisation</w:t>
            </w:r>
          </w:p>
        </w:tc>
        <w:tc>
          <w:tcPr>
            <w:tcW w:w="7371" w:type="dxa"/>
            <w:shd w:val="clear" w:color="auto" w:fill="auto"/>
          </w:tcPr>
          <w:p w:rsidR="00234100" w:rsidRPr="00F40E42" w:rsidRDefault="00234100" w:rsidP="00F40E42">
            <w:pPr>
              <w:spacing w:before="40" w:after="40"/>
              <w:rPr>
                <w:szCs w:val="24"/>
              </w:rPr>
            </w:pPr>
          </w:p>
        </w:tc>
      </w:tr>
      <w:tr w:rsidR="00234100" w:rsidRPr="00F40E42" w:rsidTr="00F40E42">
        <w:tc>
          <w:tcPr>
            <w:tcW w:w="2943" w:type="dxa"/>
            <w:shd w:val="clear" w:color="auto" w:fill="auto"/>
          </w:tcPr>
          <w:p w:rsidR="00234100" w:rsidRPr="00F40E42" w:rsidRDefault="00234100" w:rsidP="00F40E42">
            <w:pPr>
              <w:spacing w:before="40" w:after="40"/>
              <w:rPr>
                <w:b/>
                <w:szCs w:val="24"/>
              </w:rPr>
            </w:pPr>
            <w:r w:rsidRPr="00F40E42">
              <w:rPr>
                <w:b/>
                <w:szCs w:val="24"/>
              </w:rPr>
              <w:t>Email</w:t>
            </w:r>
            <w:r w:rsidR="00820A2C" w:rsidRPr="00F40E42">
              <w:rPr>
                <w:b/>
                <w:szCs w:val="24"/>
              </w:rPr>
              <w:t>*</w:t>
            </w:r>
          </w:p>
        </w:tc>
        <w:tc>
          <w:tcPr>
            <w:tcW w:w="7371" w:type="dxa"/>
            <w:shd w:val="clear" w:color="auto" w:fill="auto"/>
          </w:tcPr>
          <w:p w:rsidR="00234100" w:rsidRPr="00F40E42" w:rsidRDefault="00234100" w:rsidP="00F40E42">
            <w:pPr>
              <w:spacing w:before="40" w:after="40"/>
              <w:rPr>
                <w:szCs w:val="24"/>
              </w:rPr>
            </w:pPr>
          </w:p>
        </w:tc>
      </w:tr>
      <w:tr w:rsidR="00234100" w:rsidRPr="00F40E42" w:rsidTr="00F40E42">
        <w:tc>
          <w:tcPr>
            <w:tcW w:w="2943" w:type="dxa"/>
            <w:shd w:val="clear" w:color="auto" w:fill="auto"/>
          </w:tcPr>
          <w:p w:rsidR="00234100" w:rsidRPr="00F40E42" w:rsidRDefault="00234100" w:rsidP="00F40E42">
            <w:pPr>
              <w:spacing w:before="40" w:after="40"/>
              <w:rPr>
                <w:b/>
                <w:szCs w:val="24"/>
              </w:rPr>
            </w:pPr>
            <w:r w:rsidRPr="00F40E42">
              <w:rPr>
                <w:b/>
                <w:szCs w:val="24"/>
              </w:rPr>
              <w:t>Telephone number</w:t>
            </w:r>
            <w:r w:rsidR="00820A2C" w:rsidRPr="00F40E42">
              <w:rPr>
                <w:b/>
                <w:szCs w:val="24"/>
              </w:rPr>
              <w:t>*</w:t>
            </w:r>
          </w:p>
        </w:tc>
        <w:tc>
          <w:tcPr>
            <w:tcW w:w="7371" w:type="dxa"/>
            <w:shd w:val="clear" w:color="auto" w:fill="auto"/>
          </w:tcPr>
          <w:p w:rsidR="00234100" w:rsidRPr="00F40E42" w:rsidRDefault="00234100" w:rsidP="00F40E42">
            <w:pPr>
              <w:spacing w:before="40" w:after="40"/>
              <w:rPr>
                <w:szCs w:val="24"/>
              </w:rPr>
            </w:pPr>
          </w:p>
        </w:tc>
      </w:tr>
    </w:tbl>
    <w:p w:rsidR="005864F7" w:rsidRDefault="00820A2C" w:rsidP="00820A2C">
      <w:pPr>
        <w:spacing w:before="0"/>
        <w:rPr>
          <w:szCs w:val="24"/>
        </w:rPr>
      </w:pPr>
      <w:r w:rsidRPr="00820A2C">
        <w:rPr>
          <w:sz w:val="20"/>
          <w:szCs w:val="24"/>
        </w:rPr>
        <w:t>*This information will not be published</w:t>
      </w:r>
      <w:r>
        <w:rPr>
          <w:sz w:val="20"/>
          <w:szCs w:val="24"/>
        </w:rPr>
        <w:t xml:space="preserve"> on our website.</w:t>
      </w:r>
      <w:r w:rsidR="005864F7" w:rsidRPr="00820A2C">
        <w:rPr>
          <w:sz w:val="20"/>
          <w:szCs w:val="24"/>
        </w:rPr>
        <w:tab/>
      </w:r>
    </w:p>
    <w:p w:rsidR="00820A2C" w:rsidRDefault="00820A2C" w:rsidP="00820A2C">
      <w:pPr>
        <w:spacing w:before="0"/>
        <w:rPr>
          <w:szCs w:val="24"/>
        </w:rPr>
      </w:pPr>
    </w:p>
    <w:p w:rsidR="00AF7833" w:rsidRDefault="00AF7833" w:rsidP="00820A2C">
      <w:pPr>
        <w:spacing w:before="0"/>
        <w:rPr>
          <w:b/>
          <w:szCs w:val="24"/>
        </w:rPr>
      </w:pPr>
      <w:r w:rsidRPr="00AF7833">
        <w:rPr>
          <w:b/>
          <w:szCs w:val="24"/>
        </w:rPr>
        <w:t>Chapter 1</w:t>
      </w:r>
    </w:p>
    <w:p w:rsidR="009F2111" w:rsidRPr="00AF7833" w:rsidRDefault="009F2111" w:rsidP="00820A2C">
      <w:pPr>
        <w:spacing w:before="0"/>
        <w:rPr>
          <w:b/>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85" w:type="dxa"/>
          <w:left w:w="85" w:type="dxa"/>
          <w:bottom w:w="85" w:type="dxa"/>
          <w:right w:w="85" w:type="dxa"/>
        </w:tblCellMar>
        <w:tblLook w:val="01E0" w:firstRow="1" w:lastRow="1" w:firstColumn="1" w:lastColumn="1" w:noHBand="0" w:noVBand="0"/>
      </w:tblPr>
      <w:tblGrid>
        <w:gridCol w:w="10314"/>
      </w:tblGrid>
      <w:tr w:rsidR="004C58B7" w:rsidRPr="00E67EF9" w:rsidTr="004C58B7">
        <w:tc>
          <w:tcPr>
            <w:tcW w:w="10314" w:type="dxa"/>
            <w:shd w:val="clear" w:color="auto" w:fill="FFFFFF"/>
          </w:tcPr>
          <w:p w:rsidR="004C58B7" w:rsidRPr="00E67EF9" w:rsidRDefault="00AF7833" w:rsidP="00E85E80">
            <w:pPr>
              <w:rPr>
                <w:b/>
                <w:szCs w:val="24"/>
              </w:rPr>
            </w:pPr>
            <w:r w:rsidRPr="00AF7833">
              <w:rPr>
                <w:szCs w:val="24"/>
              </w:rPr>
              <w:t>Do you think our proposed changes to the presentation of OSTI and charge income categories will improve transparency?</w:t>
            </w:r>
          </w:p>
        </w:tc>
      </w:tr>
      <w:tr w:rsidR="009F2111" w:rsidRPr="00E67EF9" w:rsidTr="004C58B7">
        <w:tc>
          <w:tcPr>
            <w:tcW w:w="10314" w:type="dxa"/>
            <w:shd w:val="clear" w:color="auto" w:fill="FFFFFF"/>
          </w:tcPr>
          <w:p w:rsidR="009F2111" w:rsidRDefault="009F2111" w:rsidP="00E85E80">
            <w:pPr>
              <w:rPr>
                <w:szCs w:val="24"/>
              </w:rPr>
            </w:pPr>
          </w:p>
          <w:p w:rsidR="009F2111" w:rsidRDefault="009F2111" w:rsidP="00E85E80">
            <w:pPr>
              <w:rPr>
                <w:szCs w:val="24"/>
              </w:rPr>
            </w:pPr>
          </w:p>
          <w:p w:rsidR="009F2111" w:rsidRPr="00AF7833" w:rsidRDefault="009F2111" w:rsidP="00E85E80">
            <w:pPr>
              <w:rPr>
                <w:szCs w:val="24"/>
              </w:rPr>
            </w:pPr>
          </w:p>
        </w:tc>
      </w:tr>
    </w:tbl>
    <w:p w:rsidR="00AF1FED" w:rsidRDefault="00AF1FED" w:rsidP="005864F7">
      <w:pPr>
        <w:rPr>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85" w:type="dxa"/>
          <w:left w:w="85" w:type="dxa"/>
          <w:bottom w:w="85" w:type="dxa"/>
          <w:right w:w="85" w:type="dxa"/>
        </w:tblCellMar>
        <w:tblLook w:val="01E0" w:firstRow="1" w:lastRow="1" w:firstColumn="1" w:lastColumn="1" w:noHBand="0" w:noVBand="0"/>
      </w:tblPr>
      <w:tblGrid>
        <w:gridCol w:w="10314"/>
      </w:tblGrid>
      <w:tr w:rsidR="00AF7833" w:rsidRPr="00E67EF9" w:rsidTr="00FB2D2C">
        <w:tc>
          <w:tcPr>
            <w:tcW w:w="10314" w:type="dxa"/>
            <w:shd w:val="clear" w:color="auto" w:fill="FFFFFF"/>
          </w:tcPr>
          <w:p w:rsidR="00AF7833" w:rsidRPr="00E67EF9" w:rsidRDefault="00AF7833" w:rsidP="00FB2D2C">
            <w:pPr>
              <w:rPr>
                <w:b/>
                <w:szCs w:val="24"/>
              </w:rPr>
            </w:pPr>
            <w:r w:rsidRPr="00AF7833">
              <w:rPr>
                <w:szCs w:val="24"/>
              </w:rPr>
              <w:t>What are your views on budgetary flexibility for Network Rail in CP6?</w:t>
            </w:r>
          </w:p>
        </w:tc>
      </w:tr>
      <w:tr w:rsidR="009F2111" w:rsidRPr="00E67EF9" w:rsidTr="00FB2D2C">
        <w:tc>
          <w:tcPr>
            <w:tcW w:w="10314" w:type="dxa"/>
            <w:shd w:val="clear" w:color="auto" w:fill="FFFFFF"/>
          </w:tcPr>
          <w:p w:rsidR="009F2111" w:rsidRDefault="009F2111" w:rsidP="00FB2D2C">
            <w:pPr>
              <w:rPr>
                <w:szCs w:val="24"/>
              </w:rPr>
            </w:pPr>
          </w:p>
          <w:p w:rsidR="009F2111" w:rsidRDefault="009F2111" w:rsidP="00FB2D2C">
            <w:pPr>
              <w:rPr>
                <w:szCs w:val="24"/>
              </w:rPr>
            </w:pPr>
          </w:p>
          <w:p w:rsidR="009F2111" w:rsidRPr="00AF7833" w:rsidRDefault="009F2111" w:rsidP="00FB2D2C">
            <w:pPr>
              <w:rPr>
                <w:szCs w:val="24"/>
              </w:rPr>
            </w:pPr>
          </w:p>
        </w:tc>
      </w:tr>
    </w:tbl>
    <w:p w:rsidR="00AF7833" w:rsidRDefault="00AF7833" w:rsidP="005864F7">
      <w:pPr>
        <w:rPr>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85" w:type="dxa"/>
          <w:left w:w="85" w:type="dxa"/>
          <w:bottom w:w="85" w:type="dxa"/>
          <w:right w:w="85" w:type="dxa"/>
        </w:tblCellMar>
        <w:tblLook w:val="01E0" w:firstRow="1" w:lastRow="1" w:firstColumn="1" w:lastColumn="1" w:noHBand="0" w:noVBand="0"/>
      </w:tblPr>
      <w:tblGrid>
        <w:gridCol w:w="10314"/>
      </w:tblGrid>
      <w:tr w:rsidR="00AF7833" w:rsidRPr="00E67EF9" w:rsidTr="00FB2D2C">
        <w:tc>
          <w:tcPr>
            <w:tcW w:w="10314" w:type="dxa"/>
            <w:shd w:val="clear" w:color="auto" w:fill="FFFFFF"/>
          </w:tcPr>
          <w:p w:rsidR="009F2111" w:rsidRPr="009F2111" w:rsidRDefault="009F2111" w:rsidP="009F2111">
            <w:pPr>
              <w:rPr>
                <w:szCs w:val="24"/>
              </w:rPr>
            </w:pPr>
            <w:r w:rsidRPr="009F2111">
              <w:rPr>
                <w:szCs w:val="24"/>
              </w:rPr>
              <w:t>What are your views on our minded to proposal for CP6 to switch from RPI to CPI for the indexation of access charges and payment rates in other mechanisms where we set the method of indexation?</w:t>
            </w:r>
          </w:p>
          <w:p w:rsidR="00AF7833" w:rsidRPr="00E67EF9" w:rsidRDefault="009F2111" w:rsidP="009F2111">
            <w:pPr>
              <w:rPr>
                <w:b/>
                <w:szCs w:val="24"/>
              </w:rPr>
            </w:pPr>
            <w:r w:rsidRPr="009F2111">
              <w:rPr>
                <w:szCs w:val="24"/>
              </w:rPr>
              <w:t>Have we identified all of the relevant impacts</w:t>
            </w:r>
            <w:r w:rsidR="00AF7833" w:rsidRPr="00AF7833">
              <w:rPr>
                <w:szCs w:val="24"/>
              </w:rPr>
              <w:t>?</w:t>
            </w:r>
          </w:p>
        </w:tc>
      </w:tr>
      <w:tr w:rsidR="009F2111" w:rsidRPr="00E67EF9" w:rsidTr="00FB2D2C">
        <w:tc>
          <w:tcPr>
            <w:tcW w:w="10314" w:type="dxa"/>
            <w:shd w:val="clear" w:color="auto" w:fill="FFFFFF"/>
          </w:tcPr>
          <w:p w:rsidR="009F2111" w:rsidRDefault="009F2111" w:rsidP="00FB2D2C">
            <w:pPr>
              <w:rPr>
                <w:szCs w:val="24"/>
              </w:rPr>
            </w:pPr>
          </w:p>
          <w:p w:rsidR="009F2111" w:rsidRDefault="009F2111" w:rsidP="00FB2D2C">
            <w:pPr>
              <w:rPr>
                <w:szCs w:val="24"/>
              </w:rPr>
            </w:pPr>
          </w:p>
          <w:p w:rsidR="009F2111" w:rsidRPr="00AF7833" w:rsidRDefault="009F2111" w:rsidP="00FB2D2C">
            <w:pPr>
              <w:rPr>
                <w:szCs w:val="24"/>
              </w:rPr>
            </w:pPr>
          </w:p>
        </w:tc>
      </w:tr>
      <w:tr w:rsidR="009F2111" w:rsidRPr="00E67EF9" w:rsidTr="009F2111">
        <w:tc>
          <w:tcPr>
            <w:tcW w:w="10314" w:type="dxa"/>
            <w:tcBorders>
              <w:top w:val="single" w:sz="4" w:space="0" w:color="auto"/>
              <w:left w:val="single" w:sz="4" w:space="0" w:color="auto"/>
              <w:bottom w:val="single" w:sz="4" w:space="0" w:color="auto"/>
              <w:right w:val="single" w:sz="4" w:space="0" w:color="auto"/>
            </w:tcBorders>
            <w:shd w:val="clear" w:color="auto" w:fill="FFFFFF"/>
          </w:tcPr>
          <w:p w:rsidR="009F2111" w:rsidRPr="009F2111" w:rsidRDefault="009F2111" w:rsidP="00FB2D2C">
            <w:pPr>
              <w:rPr>
                <w:szCs w:val="24"/>
              </w:rPr>
            </w:pPr>
            <w:r w:rsidRPr="009F2111">
              <w:rPr>
                <w:szCs w:val="24"/>
              </w:rPr>
              <w:lastRenderedPageBreak/>
              <w:t>What are your views on our minded to proposals for RAB adjustments and asset disposals?</w:t>
            </w:r>
          </w:p>
        </w:tc>
      </w:tr>
      <w:tr w:rsidR="009F2111" w:rsidRPr="00E67EF9" w:rsidTr="009F2111">
        <w:tc>
          <w:tcPr>
            <w:tcW w:w="10314" w:type="dxa"/>
            <w:tcBorders>
              <w:top w:val="single" w:sz="4" w:space="0" w:color="auto"/>
              <w:left w:val="single" w:sz="4" w:space="0" w:color="auto"/>
              <w:bottom w:val="single" w:sz="4" w:space="0" w:color="auto"/>
              <w:right w:val="single" w:sz="4" w:space="0" w:color="auto"/>
            </w:tcBorders>
            <w:shd w:val="clear" w:color="auto" w:fill="FFFFFF"/>
          </w:tcPr>
          <w:p w:rsidR="009F2111" w:rsidRDefault="009F2111" w:rsidP="00FB2D2C">
            <w:pPr>
              <w:rPr>
                <w:szCs w:val="24"/>
              </w:rPr>
            </w:pPr>
          </w:p>
          <w:p w:rsidR="009F2111" w:rsidRDefault="009F2111" w:rsidP="00FB2D2C">
            <w:pPr>
              <w:rPr>
                <w:szCs w:val="24"/>
              </w:rPr>
            </w:pPr>
          </w:p>
          <w:p w:rsidR="009F2111" w:rsidRPr="00AF7833" w:rsidRDefault="009F2111" w:rsidP="00FB2D2C">
            <w:pPr>
              <w:rPr>
                <w:szCs w:val="24"/>
              </w:rPr>
            </w:pPr>
          </w:p>
        </w:tc>
      </w:tr>
    </w:tbl>
    <w:p w:rsidR="00AF1FED" w:rsidRDefault="00AF1FED" w:rsidP="005864F7">
      <w:pPr>
        <w:rPr>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85" w:type="dxa"/>
          <w:left w:w="85" w:type="dxa"/>
          <w:bottom w:w="85" w:type="dxa"/>
          <w:right w:w="85" w:type="dxa"/>
        </w:tblCellMar>
        <w:tblLook w:val="01E0" w:firstRow="1" w:lastRow="1" w:firstColumn="1" w:lastColumn="1" w:noHBand="0" w:noVBand="0"/>
      </w:tblPr>
      <w:tblGrid>
        <w:gridCol w:w="10314"/>
      </w:tblGrid>
      <w:tr w:rsidR="009F2111" w:rsidRPr="00E67EF9" w:rsidTr="00FB2D2C">
        <w:tc>
          <w:tcPr>
            <w:tcW w:w="10314" w:type="dxa"/>
            <w:shd w:val="clear" w:color="auto" w:fill="FFFFFF"/>
          </w:tcPr>
          <w:p w:rsidR="009F2111" w:rsidRPr="00E67EF9" w:rsidRDefault="009F2111" w:rsidP="00FB2D2C">
            <w:pPr>
              <w:rPr>
                <w:b/>
                <w:szCs w:val="24"/>
              </w:rPr>
            </w:pPr>
            <w:r w:rsidRPr="009F2111">
              <w:rPr>
                <w:szCs w:val="24"/>
              </w:rPr>
              <w:t>Do you have any other comments on our minded to proposals for the financial framework for PR18?</w:t>
            </w:r>
          </w:p>
        </w:tc>
      </w:tr>
      <w:tr w:rsidR="009F2111" w:rsidRPr="00E67EF9" w:rsidTr="00FB2D2C">
        <w:tc>
          <w:tcPr>
            <w:tcW w:w="10314" w:type="dxa"/>
            <w:shd w:val="clear" w:color="auto" w:fill="FFFFFF"/>
          </w:tcPr>
          <w:p w:rsidR="009F2111" w:rsidRDefault="009F2111" w:rsidP="00FB2D2C">
            <w:pPr>
              <w:rPr>
                <w:szCs w:val="24"/>
              </w:rPr>
            </w:pPr>
          </w:p>
          <w:p w:rsidR="009F2111" w:rsidRDefault="009F2111" w:rsidP="00FB2D2C">
            <w:pPr>
              <w:rPr>
                <w:szCs w:val="24"/>
              </w:rPr>
            </w:pPr>
          </w:p>
          <w:p w:rsidR="009F2111" w:rsidRPr="00AF7833" w:rsidRDefault="009F2111" w:rsidP="00FB2D2C">
            <w:pPr>
              <w:rPr>
                <w:szCs w:val="24"/>
              </w:rPr>
            </w:pPr>
          </w:p>
        </w:tc>
      </w:tr>
    </w:tbl>
    <w:p w:rsidR="009F2111" w:rsidRDefault="009F2111" w:rsidP="009F2111">
      <w:pPr>
        <w:spacing w:before="0"/>
        <w:rPr>
          <w:b/>
          <w:szCs w:val="24"/>
        </w:rPr>
      </w:pPr>
    </w:p>
    <w:p w:rsidR="009F2111" w:rsidRPr="00AF7833" w:rsidRDefault="009F2111" w:rsidP="009F2111">
      <w:pPr>
        <w:spacing w:before="0"/>
        <w:rPr>
          <w:b/>
          <w:szCs w:val="24"/>
        </w:rPr>
      </w:pPr>
      <w:r w:rsidRPr="00AF7833">
        <w:rPr>
          <w:b/>
          <w:szCs w:val="24"/>
        </w:rPr>
        <w:t xml:space="preserve">Chapter </w:t>
      </w:r>
      <w:r>
        <w:rPr>
          <w:b/>
          <w:szCs w:val="24"/>
        </w:rPr>
        <w:t>2</w:t>
      </w:r>
    </w:p>
    <w:p w:rsidR="009F2111" w:rsidRDefault="009F2111" w:rsidP="005864F7">
      <w:pPr>
        <w:rPr>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85" w:type="dxa"/>
          <w:left w:w="85" w:type="dxa"/>
          <w:bottom w:w="85" w:type="dxa"/>
          <w:right w:w="85" w:type="dxa"/>
        </w:tblCellMar>
        <w:tblLook w:val="01E0" w:firstRow="1" w:lastRow="1" w:firstColumn="1" w:lastColumn="1" w:noHBand="0" w:noVBand="0"/>
      </w:tblPr>
      <w:tblGrid>
        <w:gridCol w:w="10314"/>
      </w:tblGrid>
      <w:tr w:rsidR="009F2111" w:rsidRPr="00E67EF9" w:rsidTr="00FB2D2C">
        <w:tc>
          <w:tcPr>
            <w:tcW w:w="10314" w:type="dxa"/>
            <w:shd w:val="clear" w:color="auto" w:fill="FFFFFF"/>
          </w:tcPr>
          <w:p w:rsidR="009F2111" w:rsidRPr="00E67EF9" w:rsidRDefault="00B65D70" w:rsidP="00B65D70">
            <w:pPr>
              <w:rPr>
                <w:b/>
                <w:szCs w:val="24"/>
              </w:rPr>
            </w:pPr>
            <w:r w:rsidRPr="00B65D70">
              <w:rPr>
                <w:szCs w:val="24"/>
              </w:rPr>
              <w:t>Do you have any views on how we are proposing to calculate SO, route level and</w:t>
            </w:r>
            <w:r>
              <w:rPr>
                <w:szCs w:val="24"/>
              </w:rPr>
              <w:t xml:space="preserve"> </w:t>
            </w:r>
            <w:r w:rsidRPr="00B65D70">
              <w:rPr>
                <w:szCs w:val="24"/>
              </w:rPr>
              <w:t>England &amp; Wales and Scotland revenue requirements for CP6, i.e. is it clear enough?</w:t>
            </w:r>
          </w:p>
        </w:tc>
      </w:tr>
      <w:tr w:rsidR="009F2111" w:rsidRPr="00E67EF9" w:rsidTr="00FB2D2C">
        <w:tc>
          <w:tcPr>
            <w:tcW w:w="10314" w:type="dxa"/>
            <w:shd w:val="clear" w:color="auto" w:fill="FFFFFF"/>
          </w:tcPr>
          <w:p w:rsidR="009F2111" w:rsidRDefault="009F2111" w:rsidP="00FB2D2C">
            <w:pPr>
              <w:rPr>
                <w:szCs w:val="24"/>
              </w:rPr>
            </w:pPr>
          </w:p>
          <w:p w:rsidR="009F2111" w:rsidRDefault="009F2111" w:rsidP="00FB2D2C">
            <w:pPr>
              <w:rPr>
                <w:szCs w:val="24"/>
              </w:rPr>
            </w:pPr>
          </w:p>
          <w:p w:rsidR="009F2111" w:rsidRPr="00AF7833" w:rsidRDefault="009F2111" w:rsidP="00FB2D2C">
            <w:pPr>
              <w:rPr>
                <w:szCs w:val="24"/>
              </w:rPr>
            </w:pPr>
          </w:p>
        </w:tc>
      </w:tr>
    </w:tbl>
    <w:p w:rsidR="009F2111" w:rsidRDefault="009F2111" w:rsidP="005864F7">
      <w:pPr>
        <w:rPr>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85" w:type="dxa"/>
          <w:left w:w="85" w:type="dxa"/>
          <w:bottom w:w="85" w:type="dxa"/>
          <w:right w:w="85" w:type="dxa"/>
        </w:tblCellMar>
        <w:tblLook w:val="01E0" w:firstRow="1" w:lastRow="1" w:firstColumn="1" w:lastColumn="1" w:noHBand="0" w:noVBand="0"/>
      </w:tblPr>
      <w:tblGrid>
        <w:gridCol w:w="10314"/>
      </w:tblGrid>
      <w:tr w:rsidR="009F2111" w:rsidRPr="00E67EF9" w:rsidTr="00FB2D2C">
        <w:tc>
          <w:tcPr>
            <w:tcW w:w="10314" w:type="dxa"/>
            <w:shd w:val="clear" w:color="auto" w:fill="FFFFFF"/>
          </w:tcPr>
          <w:p w:rsidR="009F2111" w:rsidRPr="00E67EF9" w:rsidRDefault="00B65D70" w:rsidP="00B65D70">
            <w:pPr>
              <w:rPr>
                <w:b/>
                <w:szCs w:val="24"/>
              </w:rPr>
            </w:pPr>
            <w:r w:rsidRPr="00B65D70">
              <w:rPr>
                <w:szCs w:val="24"/>
              </w:rPr>
              <w:t>Are there ways we could make the presentation of financial information for our PR18</w:t>
            </w:r>
            <w:r>
              <w:rPr>
                <w:szCs w:val="24"/>
              </w:rPr>
              <w:t xml:space="preserve"> </w:t>
            </w:r>
            <w:r w:rsidRPr="00B65D70">
              <w:rPr>
                <w:szCs w:val="24"/>
              </w:rPr>
              <w:t>determination more transparent?</w:t>
            </w:r>
          </w:p>
        </w:tc>
      </w:tr>
      <w:tr w:rsidR="009F2111" w:rsidRPr="00E67EF9" w:rsidTr="00FB2D2C">
        <w:tc>
          <w:tcPr>
            <w:tcW w:w="10314" w:type="dxa"/>
            <w:shd w:val="clear" w:color="auto" w:fill="FFFFFF"/>
          </w:tcPr>
          <w:p w:rsidR="009F2111" w:rsidRDefault="009F2111" w:rsidP="00FB2D2C">
            <w:pPr>
              <w:rPr>
                <w:szCs w:val="24"/>
              </w:rPr>
            </w:pPr>
          </w:p>
          <w:p w:rsidR="009F2111" w:rsidRDefault="009F2111" w:rsidP="00FB2D2C">
            <w:pPr>
              <w:rPr>
                <w:szCs w:val="24"/>
              </w:rPr>
            </w:pPr>
          </w:p>
          <w:p w:rsidR="009F2111" w:rsidRPr="00AF7833" w:rsidRDefault="009F2111" w:rsidP="00FB2D2C">
            <w:pPr>
              <w:rPr>
                <w:szCs w:val="24"/>
              </w:rPr>
            </w:pPr>
          </w:p>
        </w:tc>
      </w:tr>
    </w:tbl>
    <w:p w:rsidR="00B65D70" w:rsidRDefault="00B65D70" w:rsidP="00B65D70">
      <w:pPr>
        <w:spacing w:before="0"/>
        <w:rPr>
          <w:b/>
          <w:szCs w:val="24"/>
        </w:rPr>
      </w:pPr>
    </w:p>
    <w:p w:rsidR="00B65D70" w:rsidRDefault="00B65D70" w:rsidP="00B65D70">
      <w:pPr>
        <w:spacing w:before="0"/>
        <w:rPr>
          <w:b/>
          <w:szCs w:val="24"/>
        </w:rPr>
      </w:pPr>
    </w:p>
    <w:p w:rsidR="00B65D70" w:rsidRDefault="00B65D70" w:rsidP="00B65D70">
      <w:pPr>
        <w:spacing w:before="0"/>
        <w:rPr>
          <w:b/>
          <w:szCs w:val="24"/>
        </w:rPr>
      </w:pPr>
    </w:p>
    <w:p w:rsidR="00B65D70" w:rsidRDefault="00B65D70" w:rsidP="00B65D70">
      <w:pPr>
        <w:spacing w:before="0"/>
        <w:rPr>
          <w:b/>
          <w:szCs w:val="24"/>
        </w:rPr>
      </w:pPr>
    </w:p>
    <w:p w:rsidR="00B65D70" w:rsidRDefault="00B65D70" w:rsidP="00B65D70">
      <w:pPr>
        <w:spacing w:before="0"/>
        <w:rPr>
          <w:b/>
          <w:szCs w:val="24"/>
        </w:rPr>
      </w:pPr>
    </w:p>
    <w:p w:rsidR="00B65D70" w:rsidRPr="00AF7833" w:rsidRDefault="00B65D70" w:rsidP="00B65D70">
      <w:pPr>
        <w:spacing w:before="0"/>
        <w:rPr>
          <w:b/>
          <w:szCs w:val="24"/>
        </w:rPr>
      </w:pPr>
      <w:r w:rsidRPr="00AF7833">
        <w:rPr>
          <w:b/>
          <w:szCs w:val="24"/>
        </w:rPr>
        <w:t xml:space="preserve">Chapter </w:t>
      </w:r>
      <w:r>
        <w:rPr>
          <w:b/>
          <w:szCs w:val="24"/>
        </w:rPr>
        <w:t>3</w:t>
      </w:r>
    </w:p>
    <w:p w:rsidR="009F2111" w:rsidRDefault="009F2111" w:rsidP="005864F7">
      <w:pPr>
        <w:rPr>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85" w:type="dxa"/>
          <w:left w:w="85" w:type="dxa"/>
          <w:bottom w:w="85" w:type="dxa"/>
          <w:right w:w="85" w:type="dxa"/>
        </w:tblCellMar>
        <w:tblLook w:val="01E0" w:firstRow="1" w:lastRow="1" w:firstColumn="1" w:lastColumn="1" w:noHBand="0" w:noVBand="0"/>
      </w:tblPr>
      <w:tblGrid>
        <w:gridCol w:w="10314"/>
      </w:tblGrid>
      <w:tr w:rsidR="009F2111" w:rsidRPr="00E67EF9" w:rsidTr="00FB2D2C">
        <w:tc>
          <w:tcPr>
            <w:tcW w:w="10314" w:type="dxa"/>
            <w:shd w:val="clear" w:color="auto" w:fill="FFFFFF"/>
          </w:tcPr>
          <w:p w:rsidR="009F2111" w:rsidRDefault="001D3DE0" w:rsidP="00FB2D2C">
            <w:pPr>
              <w:rPr>
                <w:szCs w:val="24"/>
              </w:rPr>
            </w:pPr>
            <w:r w:rsidRPr="001D3DE0">
              <w:rPr>
                <w:szCs w:val="24"/>
              </w:rPr>
              <w:t>Do you think the risk management approaches referred to in this chapter could:</w:t>
            </w:r>
          </w:p>
          <w:p w:rsidR="001D3DE0" w:rsidRPr="001D3DE0" w:rsidRDefault="001D3DE0" w:rsidP="001D3DE0">
            <w:pPr>
              <w:pStyle w:val="ListParagraph"/>
              <w:numPr>
                <w:ilvl w:val="0"/>
                <w:numId w:val="2"/>
              </w:numPr>
              <w:rPr>
                <w:rFonts w:ascii="Arial" w:hAnsi="Arial" w:cs="Arial"/>
              </w:rPr>
            </w:pPr>
            <w:r w:rsidRPr="001D3DE0">
              <w:rPr>
                <w:rFonts w:ascii="Arial" w:hAnsi="Arial" w:cs="Arial"/>
              </w:rPr>
              <w:t>allow Network Rail’s routes to efficiently manage risks and exploit opportunities?</w:t>
            </w:r>
          </w:p>
          <w:p w:rsidR="001D3DE0" w:rsidRPr="001D3DE0" w:rsidRDefault="001D3DE0" w:rsidP="001D3DE0">
            <w:pPr>
              <w:pStyle w:val="ListParagraph"/>
              <w:numPr>
                <w:ilvl w:val="0"/>
                <w:numId w:val="2"/>
              </w:numPr>
              <w:rPr>
                <w:rFonts w:ascii="Arial" w:hAnsi="Arial" w:cs="Arial"/>
              </w:rPr>
            </w:pPr>
            <w:r w:rsidRPr="001D3DE0">
              <w:rPr>
                <w:rFonts w:ascii="Arial" w:hAnsi="Arial" w:cs="Arial"/>
              </w:rPr>
              <w:t>be transparent?</w:t>
            </w:r>
          </w:p>
          <w:p w:rsidR="001D3DE0" w:rsidRPr="001D3DE0" w:rsidRDefault="001D3DE0" w:rsidP="001D3DE0">
            <w:pPr>
              <w:pStyle w:val="ListParagraph"/>
              <w:numPr>
                <w:ilvl w:val="0"/>
                <w:numId w:val="2"/>
              </w:numPr>
              <w:rPr>
                <w:rFonts w:ascii="Arial" w:hAnsi="Arial" w:cs="Arial"/>
              </w:rPr>
            </w:pPr>
            <w:r w:rsidRPr="001D3DE0">
              <w:rPr>
                <w:rFonts w:ascii="Arial" w:hAnsi="Arial" w:cs="Arial"/>
              </w:rPr>
              <w:t>help to preserve the integrity of route-level financial settlements?</w:t>
            </w:r>
          </w:p>
          <w:p w:rsidR="001D3DE0" w:rsidRPr="00E67EF9" w:rsidRDefault="001D3DE0" w:rsidP="001D3DE0">
            <w:pPr>
              <w:pStyle w:val="ListParagraph"/>
              <w:numPr>
                <w:ilvl w:val="0"/>
                <w:numId w:val="2"/>
              </w:numPr>
              <w:rPr>
                <w:b/>
              </w:rPr>
            </w:pPr>
            <w:r w:rsidRPr="001D3DE0">
              <w:rPr>
                <w:rFonts w:ascii="Arial" w:hAnsi="Arial" w:cs="Arial"/>
              </w:rPr>
              <w:t>comply with any government restrictions on budgetary flexibility and other government budgeting rules?</w:t>
            </w:r>
          </w:p>
        </w:tc>
      </w:tr>
      <w:tr w:rsidR="009F2111" w:rsidRPr="00E67EF9" w:rsidTr="00FB2D2C">
        <w:tc>
          <w:tcPr>
            <w:tcW w:w="10314" w:type="dxa"/>
            <w:shd w:val="clear" w:color="auto" w:fill="FFFFFF"/>
          </w:tcPr>
          <w:p w:rsidR="009F2111" w:rsidRDefault="009F2111" w:rsidP="00FB2D2C">
            <w:pPr>
              <w:rPr>
                <w:szCs w:val="24"/>
              </w:rPr>
            </w:pPr>
          </w:p>
          <w:p w:rsidR="009F2111" w:rsidRDefault="009F2111" w:rsidP="00FB2D2C">
            <w:pPr>
              <w:rPr>
                <w:szCs w:val="24"/>
              </w:rPr>
            </w:pPr>
          </w:p>
          <w:p w:rsidR="009F2111" w:rsidRPr="00AF7833" w:rsidRDefault="009F2111" w:rsidP="00FB2D2C">
            <w:pPr>
              <w:rPr>
                <w:szCs w:val="24"/>
              </w:rPr>
            </w:pPr>
          </w:p>
        </w:tc>
      </w:tr>
    </w:tbl>
    <w:p w:rsidR="009F2111" w:rsidRDefault="009F2111" w:rsidP="005864F7">
      <w:pPr>
        <w:rPr>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85" w:type="dxa"/>
          <w:left w:w="85" w:type="dxa"/>
          <w:bottom w:w="85" w:type="dxa"/>
          <w:right w:w="85" w:type="dxa"/>
        </w:tblCellMar>
        <w:tblLook w:val="01E0" w:firstRow="1" w:lastRow="1" w:firstColumn="1" w:lastColumn="1" w:noHBand="0" w:noVBand="0"/>
      </w:tblPr>
      <w:tblGrid>
        <w:gridCol w:w="10314"/>
      </w:tblGrid>
      <w:tr w:rsidR="009F2111" w:rsidRPr="00E67EF9" w:rsidTr="00FB2D2C">
        <w:tc>
          <w:tcPr>
            <w:tcW w:w="10314" w:type="dxa"/>
            <w:shd w:val="clear" w:color="auto" w:fill="FFFFFF"/>
          </w:tcPr>
          <w:p w:rsidR="009F2111" w:rsidRPr="00E67EF9" w:rsidRDefault="001D3DE0" w:rsidP="00FB2D2C">
            <w:pPr>
              <w:rPr>
                <w:b/>
                <w:szCs w:val="24"/>
              </w:rPr>
            </w:pPr>
            <w:r w:rsidRPr="001D3DE0">
              <w:rPr>
                <w:szCs w:val="24"/>
              </w:rPr>
              <w:t>What do you think of the reservation of ‘headroom’ funding approach, the approach that fully allocates funding to routes and the hybrid approach?</w:t>
            </w:r>
          </w:p>
        </w:tc>
      </w:tr>
      <w:tr w:rsidR="009F2111" w:rsidRPr="00E67EF9" w:rsidTr="00FB2D2C">
        <w:tc>
          <w:tcPr>
            <w:tcW w:w="10314" w:type="dxa"/>
            <w:shd w:val="clear" w:color="auto" w:fill="FFFFFF"/>
          </w:tcPr>
          <w:p w:rsidR="009F2111" w:rsidRDefault="009F2111" w:rsidP="00FB2D2C">
            <w:pPr>
              <w:rPr>
                <w:szCs w:val="24"/>
              </w:rPr>
            </w:pPr>
          </w:p>
          <w:p w:rsidR="009F2111" w:rsidRDefault="009F2111" w:rsidP="00FB2D2C">
            <w:pPr>
              <w:rPr>
                <w:szCs w:val="24"/>
              </w:rPr>
            </w:pPr>
          </w:p>
          <w:p w:rsidR="009F2111" w:rsidRPr="00AF7833" w:rsidRDefault="009F2111" w:rsidP="00FB2D2C">
            <w:pPr>
              <w:rPr>
                <w:szCs w:val="24"/>
              </w:rPr>
            </w:pPr>
          </w:p>
        </w:tc>
      </w:tr>
    </w:tbl>
    <w:p w:rsidR="009F2111" w:rsidRDefault="009F2111" w:rsidP="005864F7">
      <w:pPr>
        <w:rPr>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85" w:type="dxa"/>
          <w:left w:w="85" w:type="dxa"/>
          <w:bottom w:w="85" w:type="dxa"/>
          <w:right w:w="85" w:type="dxa"/>
        </w:tblCellMar>
        <w:tblLook w:val="01E0" w:firstRow="1" w:lastRow="1" w:firstColumn="1" w:lastColumn="1" w:noHBand="0" w:noVBand="0"/>
      </w:tblPr>
      <w:tblGrid>
        <w:gridCol w:w="10314"/>
      </w:tblGrid>
      <w:tr w:rsidR="009F2111" w:rsidRPr="00E67EF9" w:rsidTr="00FB2D2C">
        <w:tc>
          <w:tcPr>
            <w:tcW w:w="10314" w:type="dxa"/>
            <w:shd w:val="clear" w:color="auto" w:fill="FFFFFF"/>
          </w:tcPr>
          <w:p w:rsidR="009F2111" w:rsidRPr="00E67EF9" w:rsidRDefault="001D3DE0" w:rsidP="00FB2D2C">
            <w:pPr>
              <w:rPr>
                <w:b/>
                <w:szCs w:val="24"/>
              </w:rPr>
            </w:pPr>
            <w:r w:rsidRPr="001D3DE0">
              <w:rPr>
                <w:szCs w:val="24"/>
              </w:rPr>
              <w:t>Do you consider that Network Rail's proposal for a group portfolio fund is a necessary feature of risk management by Network Rail in CP6 at both a route and business wide level?</w:t>
            </w:r>
          </w:p>
        </w:tc>
      </w:tr>
      <w:tr w:rsidR="009F2111" w:rsidRPr="00E67EF9" w:rsidTr="00FB2D2C">
        <w:tc>
          <w:tcPr>
            <w:tcW w:w="10314" w:type="dxa"/>
            <w:shd w:val="clear" w:color="auto" w:fill="FFFFFF"/>
          </w:tcPr>
          <w:p w:rsidR="009F2111" w:rsidRDefault="009F2111" w:rsidP="00FB2D2C">
            <w:pPr>
              <w:rPr>
                <w:szCs w:val="24"/>
              </w:rPr>
            </w:pPr>
          </w:p>
          <w:p w:rsidR="009F2111" w:rsidRDefault="009F2111" w:rsidP="00FB2D2C">
            <w:pPr>
              <w:rPr>
                <w:szCs w:val="24"/>
              </w:rPr>
            </w:pPr>
          </w:p>
          <w:p w:rsidR="009F2111" w:rsidRPr="00AF7833" w:rsidRDefault="009F2111" w:rsidP="00FB2D2C">
            <w:pPr>
              <w:rPr>
                <w:szCs w:val="24"/>
              </w:rPr>
            </w:pPr>
          </w:p>
        </w:tc>
      </w:tr>
    </w:tbl>
    <w:p w:rsidR="009F2111" w:rsidRDefault="009F2111" w:rsidP="005864F7">
      <w:pPr>
        <w:rPr>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85" w:type="dxa"/>
          <w:left w:w="85" w:type="dxa"/>
          <w:bottom w:w="85" w:type="dxa"/>
          <w:right w:w="85" w:type="dxa"/>
        </w:tblCellMar>
        <w:tblLook w:val="01E0" w:firstRow="1" w:lastRow="1" w:firstColumn="1" w:lastColumn="1" w:noHBand="0" w:noVBand="0"/>
      </w:tblPr>
      <w:tblGrid>
        <w:gridCol w:w="10314"/>
      </w:tblGrid>
      <w:tr w:rsidR="009F2111" w:rsidRPr="00E67EF9" w:rsidTr="00FB2D2C">
        <w:tc>
          <w:tcPr>
            <w:tcW w:w="10314" w:type="dxa"/>
            <w:shd w:val="clear" w:color="auto" w:fill="FFFFFF"/>
          </w:tcPr>
          <w:p w:rsidR="009F2111" w:rsidRPr="00E67EF9" w:rsidRDefault="001D3DE0" w:rsidP="00FB2D2C">
            <w:pPr>
              <w:rPr>
                <w:b/>
                <w:szCs w:val="24"/>
              </w:rPr>
            </w:pPr>
            <w:r w:rsidRPr="001D3DE0">
              <w:rPr>
                <w:szCs w:val="24"/>
              </w:rPr>
              <w:t>Do you agree that we should retain the current re-opener provisions in track access contracts?</w:t>
            </w:r>
          </w:p>
        </w:tc>
      </w:tr>
      <w:tr w:rsidR="009F2111" w:rsidRPr="00E67EF9" w:rsidTr="00FB2D2C">
        <w:tc>
          <w:tcPr>
            <w:tcW w:w="10314" w:type="dxa"/>
            <w:shd w:val="clear" w:color="auto" w:fill="FFFFFF"/>
          </w:tcPr>
          <w:p w:rsidR="009F2111" w:rsidRDefault="009F2111" w:rsidP="00FB2D2C">
            <w:pPr>
              <w:rPr>
                <w:szCs w:val="24"/>
              </w:rPr>
            </w:pPr>
          </w:p>
          <w:p w:rsidR="009F2111" w:rsidRDefault="009F2111" w:rsidP="00FB2D2C">
            <w:pPr>
              <w:rPr>
                <w:szCs w:val="24"/>
              </w:rPr>
            </w:pPr>
          </w:p>
          <w:p w:rsidR="009F2111" w:rsidRPr="00AF7833" w:rsidRDefault="009F2111" w:rsidP="00FB2D2C">
            <w:pPr>
              <w:rPr>
                <w:szCs w:val="24"/>
              </w:rPr>
            </w:pPr>
          </w:p>
        </w:tc>
      </w:tr>
    </w:tbl>
    <w:p w:rsidR="009F2111" w:rsidRDefault="009F2111" w:rsidP="005864F7">
      <w:pPr>
        <w:rPr>
          <w:szCs w:val="24"/>
        </w:rPr>
      </w:pPr>
    </w:p>
    <w:p w:rsidR="009F2111" w:rsidRDefault="009F2111" w:rsidP="005864F7">
      <w:pPr>
        <w:rPr>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85" w:type="dxa"/>
          <w:left w:w="85" w:type="dxa"/>
          <w:bottom w:w="85" w:type="dxa"/>
          <w:right w:w="85" w:type="dxa"/>
        </w:tblCellMar>
        <w:tblLook w:val="01E0" w:firstRow="1" w:lastRow="1" w:firstColumn="1" w:lastColumn="1" w:noHBand="0" w:noVBand="0"/>
      </w:tblPr>
      <w:tblGrid>
        <w:gridCol w:w="10314"/>
      </w:tblGrid>
      <w:tr w:rsidR="00195B85" w:rsidRPr="00E67EF9" w:rsidTr="00195B85">
        <w:trPr>
          <w:cantSplit/>
        </w:trPr>
        <w:tc>
          <w:tcPr>
            <w:tcW w:w="10314" w:type="dxa"/>
            <w:shd w:val="clear" w:color="auto" w:fill="FFFFFF"/>
          </w:tcPr>
          <w:p w:rsidR="00195B85" w:rsidRPr="00195B85" w:rsidRDefault="00195B85" w:rsidP="00195B85">
            <w:pPr>
              <w:rPr>
                <w:b/>
                <w:szCs w:val="24"/>
              </w:rPr>
            </w:pPr>
            <w:r>
              <w:rPr>
                <w:b/>
                <w:szCs w:val="24"/>
              </w:rPr>
              <w:t>Any other points that you would like to make</w:t>
            </w:r>
          </w:p>
        </w:tc>
      </w:tr>
      <w:tr w:rsidR="00195B85" w:rsidRPr="00E67EF9" w:rsidTr="00195B85">
        <w:trPr>
          <w:trHeight w:val="1320"/>
        </w:trPr>
        <w:tc>
          <w:tcPr>
            <w:tcW w:w="10314" w:type="dxa"/>
            <w:shd w:val="clear" w:color="auto" w:fill="FFFFFF"/>
          </w:tcPr>
          <w:p w:rsidR="00820A2C" w:rsidRPr="00E67EF9" w:rsidRDefault="00820A2C" w:rsidP="00195B85"/>
        </w:tc>
      </w:tr>
    </w:tbl>
    <w:p w:rsidR="00195B85" w:rsidRDefault="00195B85" w:rsidP="005864F7">
      <w:pPr>
        <w:rPr>
          <w:szCs w:val="24"/>
        </w:rPr>
      </w:pPr>
    </w:p>
    <w:p w:rsidR="00434419" w:rsidRPr="00E67EF9" w:rsidRDefault="00195B85" w:rsidP="005864F7">
      <w:pPr>
        <w:rPr>
          <w:szCs w:val="24"/>
        </w:rPr>
      </w:pPr>
      <w:r>
        <w:rPr>
          <w:szCs w:val="24"/>
        </w:rPr>
        <w:t>Thank you for taking the time to respond.</w:t>
      </w:r>
    </w:p>
    <w:p w:rsidR="00FB627D" w:rsidRPr="00E67EF9" w:rsidRDefault="00FB627D" w:rsidP="005864F7">
      <w:pPr>
        <w:rPr>
          <w:szCs w:val="24"/>
        </w:rPr>
      </w:pPr>
    </w:p>
    <w:p w:rsidR="005864F7" w:rsidRDefault="005864F7" w:rsidP="005864F7">
      <w:pPr>
        <w:rPr>
          <w:b/>
          <w:szCs w:val="24"/>
        </w:rPr>
      </w:pPr>
    </w:p>
    <w:sectPr w:rsidR="005864F7" w:rsidSect="00195B85">
      <w:pgSz w:w="11906" w:h="16838"/>
      <w:pgMar w:top="1440" w:right="851" w:bottom="993"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749" w:rsidRDefault="00020749">
      <w:r>
        <w:separator/>
      </w:r>
    </w:p>
  </w:endnote>
  <w:endnote w:type="continuationSeparator" w:id="0">
    <w:p w:rsidR="00020749" w:rsidRDefault="00020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749" w:rsidRDefault="00020749">
      <w:r>
        <w:separator/>
      </w:r>
    </w:p>
  </w:footnote>
  <w:footnote w:type="continuationSeparator" w:id="0">
    <w:p w:rsidR="00020749" w:rsidRDefault="000207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6589D"/>
    <w:multiLevelType w:val="hybridMultilevel"/>
    <w:tmpl w:val="0358B4FA"/>
    <w:lvl w:ilvl="0" w:tplc="B5D8CC7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5E77DF"/>
    <w:multiLevelType w:val="hybridMultilevel"/>
    <w:tmpl w:val="EFE85B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2F1"/>
    <w:rsid w:val="00020749"/>
    <w:rsid w:val="00025F73"/>
    <w:rsid w:val="00032F00"/>
    <w:rsid w:val="00057732"/>
    <w:rsid w:val="0005794F"/>
    <w:rsid w:val="000831BC"/>
    <w:rsid w:val="00085774"/>
    <w:rsid w:val="000A0DC5"/>
    <w:rsid w:val="000B184E"/>
    <w:rsid w:val="000B1C9D"/>
    <w:rsid w:val="000B2A68"/>
    <w:rsid w:val="00135B5C"/>
    <w:rsid w:val="00152115"/>
    <w:rsid w:val="00195B85"/>
    <w:rsid w:val="001A5624"/>
    <w:rsid w:val="001B6E4F"/>
    <w:rsid w:val="001D3DE0"/>
    <w:rsid w:val="00221F2D"/>
    <w:rsid w:val="00234100"/>
    <w:rsid w:val="0027765B"/>
    <w:rsid w:val="002B63B8"/>
    <w:rsid w:val="002F5600"/>
    <w:rsid w:val="00336B0C"/>
    <w:rsid w:val="00353EED"/>
    <w:rsid w:val="003905D7"/>
    <w:rsid w:val="00391F23"/>
    <w:rsid w:val="003A5DD1"/>
    <w:rsid w:val="003F40AC"/>
    <w:rsid w:val="00414A3C"/>
    <w:rsid w:val="00434419"/>
    <w:rsid w:val="00434772"/>
    <w:rsid w:val="00441B9D"/>
    <w:rsid w:val="00442362"/>
    <w:rsid w:val="004500A1"/>
    <w:rsid w:val="00475736"/>
    <w:rsid w:val="00491B06"/>
    <w:rsid w:val="004A6289"/>
    <w:rsid w:val="004C58B7"/>
    <w:rsid w:val="004F7C9A"/>
    <w:rsid w:val="00503F7B"/>
    <w:rsid w:val="005864F7"/>
    <w:rsid w:val="005A3353"/>
    <w:rsid w:val="005C25D6"/>
    <w:rsid w:val="00627E72"/>
    <w:rsid w:val="00642E76"/>
    <w:rsid w:val="0064385C"/>
    <w:rsid w:val="006449F5"/>
    <w:rsid w:val="00661378"/>
    <w:rsid w:val="00730481"/>
    <w:rsid w:val="00733866"/>
    <w:rsid w:val="00744820"/>
    <w:rsid w:val="00773A23"/>
    <w:rsid w:val="007A0455"/>
    <w:rsid w:val="007B5C09"/>
    <w:rsid w:val="007F02F1"/>
    <w:rsid w:val="007F61E7"/>
    <w:rsid w:val="00820A2C"/>
    <w:rsid w:val="00860B95"/>
    <w:rsid w:val="00896292"/>
    <w:rsid w:val="008A1B86"/>
    <w:rsid w:val="008A34EA"/>
    <w:rsid w:val="008E5F9C"/>
    <w:rsid w:val="0090742C"/>
    <w:rsid w:val="00935E78"/>
    <w:rsid w:val="00956E8C"/>
    <w:rsid w:val="009671F2"/>
    <w:rsid w:val="009D08EC"/>
    <w:rsid w:val="009F2111"/>
    <w:rsid w:val="00A24DC8"/>
    <w:rsid w:val="00A703C2"/>
    <w:rsid w:val="00A775FB"/>
    <w:rsid w:val="00A874E0"/>
    <w:rsid w:val="00AA2A27"/>
    <w:rsid w:val="00AB7AC1"/>
    <w:rsid w:val="00AF1FED"/>
    <w:rsid w:val="00AF7833"/>
    <w:rsid w:val="00B23A0F"/>
    <w:rsid w:val="00B559C6"/>
    <w:rsid w:val="00B60988"/>
    <w:rsid w:val="00B65D70"/>
    <w:rsid w:val="00BA6729"/>
    <w:rsid w:val="00BB3040"/>
    <w:rsid w:val="00BC24A0"/>
    <w:rsid w:val="00BD46F6"/>
    <w:rsid w:val="00C22BD3"/>
    <w:rsid w:val="00C90609"/>
    <w:rsid w:val="00CB7B27"/>
    <w:rsid w:val="00D04C68"/>
    <w:rsid w:val="00D126F4"/>
    <w:rsid w:val="00DA1A4E"/>
    <w:rsid w:val="00DC42EA"/>
    <w:rsid w:val="00DD1D57"/>
    <w:rsid w:val="00DD53EF"/>
    <w:rsid w:val="00E07970"/>
    <w:rsid w:val="00E50B53"/>
    <w:rsid w:val="00E7741C"/>
    <w:rsid w:val="00E833D5"/>
    <w:rsid w:val="00E842B7"/>
    <w:rsid w:val="00E85E80"/>
    <w:rsid w:val="00F40E42"/>
    <w:rsid w:val="00F76774"/>
    <w:rsid w:val="00F77656"/>
    <w:rsid w:val="00FA29BC"/>
    <w:rsid w:val="00FB627D"/>
    <w:rsid w:val="00FC2B69"/>
    <w:rsid w:val="00FE2C47"/>
    <w:rsid w:val="00FF38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25D902"/>
  <w15:chartTrackingRefBased/>
  <w15:docId w15:val="{91A25221-B6B5-46CC-9C06-FC5B42869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8B7"/>
    <w:pPr>
      <w:spacing w:before="120" w:after="120"/>
    </w:pPr>
    <w:rPr>
      <w:rFonts w:ascii="Arial" w:hAnsi="Arial" w:cs="Arial"/>
      <w:sz w:val="24"/>
      <w:lang w:eastAsia="en-US"/>
    </w:rPr>
  </w:style>
  <w:style w:type="paragraph" w:styleId="Heading1">
    <w:name w:val="heading 1"/>
    <w:basedOn w:val="Normal"/>
    <w:next w:val="Normal"/>
    <w:link w:val="Heading1Char"/>
    <w:uiPriority w:val="9"/>
    <w:qFormat/>
    <w:rsid w:val="003F40AC"/>
    <w:pPr>
      <w:keepNext/>
      <w:spacing w:before="240" w:after="60"/>
      <w:outlineLvl w:val="0"/>
    </w:pPr>
    <w:rPr>
      <w:rFonts w:ascii="Cambria" w:hAnsi="Cambria" w:cs="Times New Roman"/>
      <w:b/>
      <w:bCs/>
      <w:kern w:val="32"/>
      <w:sz w:val="32"/>
      <w:szCs w:val="32"/>
    </w:rPr>
  </w:style>
  <w:style w:type="paragraph" w:styleId="Heading4">
    <w:name w:val="heading 4"/>
    <w:basedOn w:val="Normal"/>
    <w:next w:val="Normal"/>
    <w:link w:val="Heading4Char"/>
    <w:uiPriority w:val="9"/>
    <w:semiHidden/>
    <w:unhideWhenUsed/>
    <w:qFormat/>
    <w:rsid w:val="00FB627D"/>
    <w:pPr>
      <w:keepNext/>
      <w:spacing w:before="240" w:after="60"/>
      <w:outlineLvl w:val="3"/>
    </w:pPr>
    <w:rPr>
      <w:rFonts w:ascii="Calibri" w:hAnsi="Calibri" w:cs="Times New Roman"/>
      <w:b/>
      <w:bCs/>
      <w:sz w:val="28"/>
      <w:szCs w:val="28"/>
    </w:rPr>
  </w:style>
  <w:style w:type="paragraph" w:styleId="Heading5">
    <w:name w:val="heading 5"/>
    <w:basedOn w:val="Heading4"/>
    <w:next w:val="Normal"/>
    <w:link w:val="Heading5Char"/>
    <w:uiPriority w:val="9"/>
    <w:unhideWhenUsed/>
    <w:qFormat/>
    <w:rsid w:val="00FB627D"/>
    <w:pPr>
      <w:keepLines/>
      <w:spacing w:before="200" w:after="0"/>
      <w:outlineLvl w:val="4"/>
    </w:pPr>
    <w:rPr>
      <w:rFonts w:ascii="Arial" w:hAnsi="Arial"/>
      <w:bCs w:val="0"/>
      <w:iCs/>
      <w:color w:val="00476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864F7"/>
    <w:rPr>
      <w:rFonts w:ascii="Arial" w:hAnsi="Arial"/>
      <w:color w:val="0000FF"/>
      <w:sz w:val="24"/>
      <w:u w:val="single"/>
    </w:rPr>
  </w:style>
  <w:style w:type="paragraph" w:styleId="FootnoteText">
    <w:name w:val="footnote text"/>
    <w:basedOn w:val="Normal"/>
    <w:link w:val="FootnoteTextChar"/>
    <w:semiHidden/>
    <w:rsid w:val="005864F7"/>
  </w:style>
  <w:style w:type="character" w:styleId="FootnoteReference">
    <w:name w:val="footnote reference"/>
    <w:semiHidden/>
    <w:rsid w:val="005864F7"/>
    <w:rPr>
      <w:vertAlign w:val="superscript"/>
    </w:rPr>
  </w:style>
  <w:style w:type="paragraph" w:styleId="CommentText">
    <w:name w:val="annotation text"/>
    <w:basedOn w:val="Normal"/>
    <w:link w:val="CommentTextChar"/>
    <w:semiHidden/>
    <w:rsid w:val="005864F7"/>
    <w:rPr>
      <w:lang w:eastAsia="en-GB"/>
    </w:rPr>
  </w:style>
  <w:style w:type="character" w:customStyle="1" w:styleId="CommentTextChar">
    <w:name w:val="Comment Text Char"/>
    <w:link w:val="CommentText"/>
    <w:semiHidden/>
    <w:rsid w:val="005864F7"/>
    <w:rPr>
      <w:rFonts w:ascii="Arial" w:hAnsi="Arial" w:cs="Arial"/>
      <w:sz w:val="24"/>
      <w:lang w:val="en-GB" w:eastAsia="en-GB" w:bidi="ar-SA"/>
    </w:rPr>
  </w:style>
  <w:style w:type="character" w:customStyle="1" w:styleId="FootnoteTextChar">
    <w:name w:val="Footnote Text Char"/>
    <w:link w:val="FootnoteText"/>
    <w:semiHidden/>
    <w:rsid w:val="005864F7"/>
    <w:rPr>
      <w:rFonts w:ascii="Arial" w:hAnsi="Arial" w:cs="Arial"/>
      <w:sz w:val="24"/>
      <w:lang w:val="en-GB" w:eastAsia="en-US" w:bidi="ar-SA"/>
    </w:rPr>
  </w:style>
  <w:style w:type="paragraph" w:styleId="ListParagraph">
    <w:name w:val="List Paragraph"/>
    <w:basedOn w:val="Normal"/>
    <w:qFormat/>
    <w:rsid w:val="005864F7"/>
    <w:pPr>
      <w:ind w:left="720"/>
    </w:pPr>
    <w:rPr>
      <w:rFonts w:ascii="Times New Roman" w:hAnsi="Times New Roman" w:cs="Times New Roman"/>
      <w:szCs w:val="24"/>
      <w:lang w:eastAsia="en-GB"/>
    </w:rPr>
  </w:style>
  <w:style w:type="character" w:customStyle="1" w:styleId="Heading1Char">
    <w:name w:val="Heading 1 Char"/>
    <w:link w:val="Heading1"/>
    <w:uiPriority w:val="9"/>
    <w:rsid w:val="003F40AC"/>
    <w:rPr>
      <w:rFonts w:ascii="Cambria" w:eastAsia="Times New Roman" w:hAnsi="Cambria" w:cs="Times New Roman"/>
      <w:b/>
      <w:bCs/>
      <w:kern w:val="32"/>
      <w:sz w:val="32"/>
      <w:szCs w:val="32"/>
      <w:lang w:eastAsia="en-US"/>
    </w:rPr>
  </w:style>
  <w:style w:type="paragraph" w:styleId="Title">
    <w:name w:val="Title"/>
    <w:basedOn w:val="Normal"/>
    <w:next w:val="Normal"/>
    <w:link w:val="TitleChar"/>
    <w:uiPriority w:val="10"/>
    <w:qFormat/>
    <w:rsid w:val="003F40AC"/>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uiPriority w:val="10"/>
    <w:rsid w:val="003F40AC"/>
    <w:rPr>
      <w:rFonts w:ascii="Cambria" w:eastAsia="Times New Roman" w:hAnsi="Cambria" w:cs="Times New Roman"/>
      <w:b/>
      <w:bCs/>
      <w:kern w:val="28"/>
      <w:sz w:val="32"/>
      <w:szCs w:val="32"/>
      <w:lang w:eastAsia="en-US"/>
    </w:rPr>
  </w:style>
  <w:style w:type="character" w:styleId="CommentReference">
    <w:name w:val="annotation reference"/>
    <w:uiPriority w:val="99"/>
    <w:semiHidden/>
    <w:unhideWhenUsed/>
    <w:rsid w:val="003F40AC"/>
    <w:rPr>
      <w:sz w:val="16"/>
      <w:szCs w:val="16"/>
    </w:rPr>
  </w:style>
  <w:style w:type="paragraph" w:styleId="CommentSubject">
    <w:name w:val="annotation subject"/>
    <w:basedOn w:val="CommentText"/>
    <w:next w:val="CommentText"/>
    <w:link w:val="CommentSubjectChar"/>
    <w:uiPriority w:val="99"/>
    <w:semiHidden/>
    <w:unhideWhenUsed/>
    <w:rsid w:val="003F40AC"/>
    <w:rPr>
      <w:b/>
      <w:bCs/>
      <w:sz w:val="20"/>
      <w:lang w:eastAsia="en-US"/>
    </w:rPr>
  </w:style>
  <w:style w:type="character" w:customStyle="1" w:styleId="CommentSubjectChar">
    <w:name w:val="Comment Subject Char"/>
    <w:link w:val="CommentSubject"/>
    <w:uiPriority w:val="99"/>
    <w:semiHidden/>
    <w:rsid w:val="003F40AC"/>
    <w:rPr>
      <w:rFonts w:ascii="Arial" w:hAnsi="Arial" w:cs="Arial"/>
      <w:b/>
      <w:bCs/>
      <w:sz w:val="24"/>
      <w:lang w:val="en-GB" w:eastAsia="en-US" w:bidi="ar-SA"/>
    </w:rPr>
  </w:style>
  <w:style w:type="paragraph" w:styleId="BalloonText">
    <w:name w:val="Balloon Text"/>
    <w:basedOn w:val="Normal"/>
    <w:link w:val="BalloonTextChar"/>
    <w:uiPriority w:val="99"/>
    <w:semiHidden/>
    <w:unhideWhenUsed/>
    <w:rsid w:val="003F40AC"/>
    <w:rPr>
      <w:rFonts w:ascii="Tahoma" w:hAnsi="Tahoma" w:cs="Tahoma"/>
      <w:sz w:val="16"/>
      <w:szCs w:val="16"/>
    </w:rPr>
  </w:style>
  <w:style w:type="character" w:customStyle="1" w:styleId="BalloonTextChar">
    <w:name w:val="Balloon Text Char"/>
    <w:link w:val="BalloonText"/>
    <w:uiPriority w:val="99"/>
    <w:semiHidden/>
    <w:rsid w:val="003F40AC"/>
    <w:rPr>
      <w:rFonts w:ascii="Tahoma" w:hAnsi="Tahoma" w:cs="Tahoma"/>
      <w:sz w:val="16"/>
      <w:szCs w:val="16"/>
      <w:lang w:eastAsia="en-US"/>
    </w:rPr>
  </w:style>
  <w:style w:type="character" w:customStyle="1" w:styleId="Heading5Char">
    <w:name w:val="Heading 5 Char"/>
    <w:link w:val="Heading5"/>
    <w:uiPriority w:val="9"/>
    <w:rsid w:val="00FB627D"/>
    <w:rPr>
      <w:rFonts w:ascii="Arial" w:hAnsi="Arial"/>
      <w:b/>
      <w:iCs/>
      <w:color w:val="00476B"/>
      <w:sz w:val="28"/>
      <w:szCs w:val="26"/>
      <w:lang w:eastAsia="en-US"/>
    </w:rPr>
  </w:style>
  <w:style w:type="character" w:customStyle="1" w:styleId="Heading4Char">
    <w:name w:val="Heading 4 Char"/>
    <w:link w:val="Heading4"/>
    <w:uiPriority w:val="9"/>
    <w:semiHidden/>
    <w:rsid w:val="00FB627D"/>
    <w:rPr>
      <w:rFonts w:ascii="Calibri" w:eastAsia="Times New Roman" w:hAnsi="Calibri" w:cs="Times New Roman"/>
      <w:b/>
      <w:bCs/>
      <w:sz w:val="28"/>
      <w:szCs w:val="28"/>
      <w:lang w:eastAsia="en-US"/>
    </w:rPr>
  </w:style>
  <w:style w:type="table" w:styleId="TableGrid">
    <w:name w:val="Table Grid"/>
    <w:basedOn w:val="TableNormal"/>
    <w:uiPriority w:val="59"/>
    <w:rsid w:val="00234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18@orr.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C8964-D480-4F94-8EDB-B0E549B90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PR18 consultation on charges recovering fixed network costs: Pro-forma for responses</vt:lpstr>
    </vt:vector>
  </TitlesOfParts>
  <Company>Office of Rail and Road</Company>
  <LinksUpToDate>false</LinksUpToDate>
  <CharactersWithSpaces>2326</CharactersWithSpaces>
  <SharedDoc>false</SharedDoc>
  <HLinks>
    <vt:vector size="6" baseType="variant">
      <vt:variant>
        <vt:i4>4718711</vt:i4>
      </vt:variant>
      <vt:variant>
        <vt:i4>0</vt:i4>
      </vt:variant>
      <vt:variant>
        <vt:i4>0</vt:i4>
      </vt:variant>
      <vt:variant>
        <vt:i4>5</vt:i4>
      </vt:variant>
      <vt:variant>
        <vt:lpwstr>mailto:PR18@orr.gsi.gov.uk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PR18 consultation on charges recovering fixed network costs: Pro-forma for responses</dc:title>
  <dc:subject/>
  <dc:creator>Office of Rail and Road</dc:creator>
  <cp:keywords/>
  <cp:lastModifiedBy>Darby, Paul</cp:lastModifiedBy>
  <cp:revision>4</cp:revision>
  <dcterms:created xsi:type="dcterms:W3CDTF">2018-03-19T14:42:00Z</dcterms:created>
  <dcterms:modified xsi:type="dcterms:W3CDTF">2018-03-26T12:22:00Z</dcterms:modified>
</cp:coreProperties>
</file>