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FC50" w14:textId="77777777" w:rsidR="005864F7" w:rsidRDefault="00E95B35" w:rsidP="005864F7">
      <w:pPr>
        <w:rPr>
          <w:i/>
          <w:iCs/>
          <w:color w:val="000000"/>
          <w:szCs w:val="24"/>
          <w:lang w:eastAsia="en-GB"/>
        </w:rPr>
      </w:pPr>
      <w:r>
        <w:rPr>
          <w:i/>
          <w:iCs/>
          <w:noProof/>
          <w:color w:val="000000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48DE592F" wp14:editId="5F8D4008">
            <wp:simplePos x="0" y="0"/>
            <wp:positionH relativeFrom="margin">
              <wp:posOffset>0</wp:posOffset>
            </wp:positionH>
            <wp:positionV relativeFrom="margin">
              <wp:posOffset>-609600</wp:posOffset>
            </wp:positionV>
            <wp:extent cx="1450975" cy="701040"/>
            <wp:effectExtent l="0" t="0" r="0" b="3810"/>
            <wp:wrapSquare wrapText="bothSides"/>
            <wp:docPr id="4" name="Picture 4" descr="Logo: Office of Rail and R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: Office of Rail and R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488F8" w14:textId="77777777" w:rsidR="00984F8A" w:rsidRPr="00D65BFD" w:rsidRDefault="00984F8A" w:rsidP="00984F8A">
      <w:pPr>
        <w:pStyle w:val="Default"/>
        <w:rPr>
          <w:b/>
          <w:color w:val="00476B"/>
          <w:sz w:val="14"/>
        </w:rPr>
      </w:pPr>
      <w:r w:rsidRPr="00984F8A">
        <w:rPr>
          <w:b/>
          <w:color w:val="auto"/>
          <w:sz w:val="32"/>
        </w:rPr>
        <w:t>ORR’s ‘Holding Network Rail to Account’ policy for CP6</w:t>
      </w:r>
      <w:r>
        <w:rPr>
          <w:b/>
          <w:color w:val="00476B"/>
        </w:rPr>
        <w:br/>
      </w:r>
    </w:p>
    <w:p w14:paraId="6E7747F7" w14:textId="77777777" w:rsidR="005864F7" w:rsidRPr="00AC65B4" w:rsidRDefault="00AC65B4" w:rsidP="00234100">
      <w:pPr>
        <w:pStyle w:val="Heading1"/>
        <w:rPr>
          <w:rFonts w:ascii="Arial" w:hAnsi="Arial" w:cs="Arial"/>
          <w:sz w:val="28"/>
        </w:rPr>
      </w:pPr>
      <w:r w:rsidRPr="00AC65B4">
        <w:rPr>
          <w:rFonts w:ascii="Arial" w:hAnsi="Arial" w:cs="Arial"/>
          <w:sz w:val="28"/>
        </w:rPr>
        <w:t xml:space="preserve">A consultation on </w:t>
      </w:r>
      <w:r w:rsidR="00984F8A">
        <w:rPr>
          <w:rFonts w:ascii="Arial" w:hAnsi="Arial" w:cs="Arial"/>
          <w:sz w:val="28"/>
        </w:rPr>
        <w:t>a new policy for holding Network Rail to Account</w:t>
      </w:r>
      <w:r w:rsidR="00D251C5" w:rsidRPr="00AC65B4">
        <w:rPr>
          <w:rFonts w:ascii="Arial" w:hAnsi="Arial" w:cs="Arial"/>
          <w:sz w:val="28"/>
        </w:rPr>
        <w:t>:</w:t>
      </w:r>
      <w:r w:rsidR="00537FF0" w:rsidRPr="00AC65B4">
        <w:rPr>
          <w:rFonts w:ascii="Arial" w:hAnsi="Arial" w:cs="Arial"/>
          <w:sz w:val="28"/>
        </w:rPr>
        <w:t xml:space="preserve"> p</w:t>
      </w:r>
      <w:r w:rsidR="00F06AB9" w:rsidRPr="00AC65B4">
        <w:rPr>
          <w:rFonts w:ascii="Arial" w:hAnsi="Arial" w:cs="Arial"/>
          <w:sz w:val="28"/>
        </w:rPr>
        <w:t>ro</w:t>
      </w:r>
      <w:r w:rsidR="00887F1F" w:rsidRPr="00AC65B4">
        <w:rPr>
          <w:rFonts w:ascii="Arial" w:hAnsi="Arial" w:cs="Arial"/>
          <w:sz w:val="28"/>
        </w:rPr>
        <w:t xml:space="preserve"> </w:t>
      </w:r>
      <w:r w:rsidR="00F06AB9" w:rsidRPr="00AC65B4">
        <w:rPr>
          <w:rFonts w:ascii="Arial" w:hAnsi="Arial" w:cs="Arial"/>
          <w:sz w:val="28"/>
        </w:rPr>
        <w:t>forma</w:t>
      </w:r>
    </w:p>
    <w:p w14:paraId="7110BF92" w14:textId="77777777" w:rsidR="004C58B7" w:rsidRPr="00984F8A" w:rsidRDefault="00887F1F" w:rsidP="00984F8A">
      <w:pPr>
        <w:pStyle w:val="Default"/>
        <w:rPr>
          <w:b/>
          <w:color w:val="00476B"/>
          <w:sz w:val="14"/>
        </w:rPr>
      </w:pPr>
      <w:r w:rsidRPr="001F4F6E">
        <w:t xml:space="preserve">This pro </w:t>
      </w:r>
      <w:r w:rsidR="004C58B7" w:rsidRPr="001F4F6E">
        <w:t>forma is available to those that wish to use it</w:t>
      </w:r>
      <w:r w:rsidRPr="001F4F6E">
        <w:t xml:space="preserve"> to respond to our </w:t>
      </w:r>
      <w:r w:rsidR="00984F8A" w:rsidRPr="00984F8A">
        <w:t>ORR’s ‘Holding Network Rail to Account’ policy for CP6</w:t>
      </w:r>
      <w:r w:rsidR="00984F8A">
        <w:t>’</w:t>
      </w:r>
      <w:r w:rsidR="00984F8A">
        <w:rPr>
          <w:b/>
          <w:color w:val="00476B"/>
        </w:rPr>
        <w:t xml:space="preserve"> </w:t>
      </w:r>
      <w:r w:rsidRPr="001F4F6E">
        <w:t>consultation</w:t>
      </w:r>
      <w:r w:rsidR="00995FBF" w:rsidRPr="001F4F6E">
        <w:t>.</w:t>
      </w:r>
      <w:r w:rsidR="004C58B7" w:rsidRPr="001F4F6E">
        <w:t xml:space="preserve"> </w:t>
      </w:r>
      <w:r w:rsidR="00820A2C" w:rsidRPr="001F4F6E">
        <w:t>Other forms of response (</w:t>
      </w:r>
      <w:proofErr w:type="gramStart"/>
      <w:r w:rsidR="00820A2C" w:rsidRPr="001F4F6E">
        <w:t>e.g.</w:t>
      </w:r>
      <w:proofErr w:type="gramEnd"/>
      <w:r w:rsidR="00820A2C" w:rsidRPr="001F4F6E">
        <w:t xml:space="preserve"> let</w:t>
      </w:r>
      <w:r w:rsidRPr="001F4F6E">
        <w:t xml:space="preserve">ter format) are equally welcome, though we would be grateful </w:t>
      </w:r>
      <w:r w:rsidR="00D251C5" w:rsidRPr="001F4F6E">
        <w:t xml:space="preserve">if </w:t>
      </w:r>
      <w:r w:rsidRPr="001F4F6E">
        <w:t>these could be structured broadly in line with the areas listed below</w:t>
      </w:r>
      <w:r w:rsidR="003E715F" w:rsidRPr="001F4F6E">
        <w:t xml:space="preserve"> (where you wish to comment)</w:t>
      </w:r>
      <w:r w:rsidRPr="001F4F6E">
        <w:t>, to aid our review of responses.</w:t>
      </w:r>
      <w:r w:rsidR="00820A2C" w:rsidRPr="001F4F6E">
        <w:t xml:space="preserve"> </w:t>
      </w:r>
    </w:p>
    <w:p w14:paraId="2A923329" w14:textId="77777777" w:rsidR="00195B85" w:rsidRPr="001F4F6E" w:rsidRDefault="00195B85" w:rsidP="00195B85">
      <w:r w:rsidRPr="001F4F6E">
        <w:t xml:space="preserve">Please send your response to </w:t>
      </w:r>
      <w:hyperlink r:id="rId9" w:history="1">
        <w:r w:rsidR="00984F8A" w:rsidRPr="00204726">
          <w:rPr>
            <w:rStyle w:val="Hyperlink"/>
          </w:rPr>
          <w:t>pr18@orr.gsi.gov.uk</w:t>
        </w:r>
      </w:hyperlink>
      <w:r w:rsidR="00984F8A">
        <w:t xml:space="preserve"> </w:t>
      </w:r>
      <w:r w:rsidRPr="001F4F6E">
        <w:t xml:space="preserve">by </w:t>
      </w:r>
      <w:r w:rsidR="00984F8A">
        <w:rPr>
          <w:b/>
        </w:rPr>
        <w:t>25</w:t>
      </w:r>
      <w:r w:rsidR="00445392" w:rsidRPr="001F4F6E">
        <w:rPr>
          <w:b/>
        </w:rPr>
        <w:t xml:space="preserve"> January 2019</w:t>
      </w:r>
      <w:r w:rsidRPr="001F4F6E">
        <w:t xml:space="preserve">. </w:t>
      </w:r>
    </w:p>
    <w:p w14:paraId="45C16DC2" w14:textId="77777777" w:rsidR="004F4B15" w:rsidRPr="001F4F6E" w:rsidRDefault="004F4B15" w:rsidP="00195B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7269"/>
      </w:tblGrid>
      <w:tr w:rsidR="00234100" w:rsidRPr="001F4F6E" w14:paraId="4DFF7763" w14:textId="77777777" w:rsidTr="004F4B15">
        <w:tc>
          <w:tcPr>
            <w:tcW w:w="2925" w:type="dxa"/>
            <w:shd w:val="clear" w:color="auto" w:fill="auto"/>
          </w:tcPr>
          <w:p w14:paraId="289C785B" w14:textId="77777777" w:rsidR="00234100" w:rsidRPr="001F4F6E" w:rsidRDefault="00234100" w:rsidP="00F40E42">
            <w:pPr>
              <w:pStyle w:val="CommentText"/>
              <w:spacing w:before="40" w:after="40"/>
              <w:rPr>
                <w:b/>
                <w:szCs w:val="24"/>
              </w:rPr>
            </w:pPr>
            <w:r w:rsidRPr="001F4F6E">
              <w:rPr>
                <w:b/>
                <w:szCs w:val="24"/>
              </w:rPr>
              <w:t>Full name</w:t>
            </w:r>
            <w:r w:rsidR="00AC65B4">
              <w:rPr>
                <w:b/>
                <w:szCs w:val="24"/>
              </w:rPr>
              <w:t>*</w:t>
            </w:r>
          </w:p>
        </w:tc>
        <w:tc>
          <w:tcPr>
            <w:tcW w:w="7269" w:type="dxa"/>
            <w:shd w:val="clear" w:color="auto" w:fill="auto"/>
          </w:tcPr>
          <w:p w14:paraId="15C1FC79" w14:textId="77777777" w:rsidR="00234100" w:rsidRPr="001F4F6E" w:rsidRDefault="00234100" w:rsidP="00F40E42">
            <w:pPr>
              <w:pStyle w:val="CommentText"/>
              <w:spacing w:before="40" w:after="40"/>
              <w:rPr>
                <w:szCs w:val="24"/>
              </w:rPr>
            </w:pPr>
          </w:p>
        </w:tc>
      </w:tr>
      <w:tr w:rsidR="00234100" w:rsidRPr="001F4F6E" w14:paraId="291DA62E" w14:textId="77777777" w:rsidTr="004F4B15">
        <w:tc>
          <w:tcPr>
            <w:tcW w:w="2925" w:type="dxa"/>
            <w:shd w:val="clear" w:color="auto" w:fill="auto"/>
          </w:tcPr>
          <w:p w14:paraId="5C93EB1A" w14:textId="77777777" w:rsidR="00234100" w:rsidRPr="001F4F6E" w:rsidRDefault="00234100" w:rsidP="00F40E42">
            <w:pPr>
              <w:spacing w:before="40" w:after="40"/>
              <w:rPr>
                <w:b/>
                <w:szCs w:val="24"/>
              </w:rPr>
            </w:pPr>
            <w:r w:rsidRPr="001F4F6E">
              <w:rPr>
                <w:b/>
                <w:szCs w:val="24"/>
              </w:rPr>
              <w:t>Job title</w:t>
            </w:r>
            <w:r w:rsidR="00887F1F" w:rsidRPr="001F4F6E">
              <w:rPr>
                <w:b/>
                <w:szCs w:val="24"/>
              </w:rPr>
              <w:t>*</w:t>
            </w:r>
          </w:p>
        </w:tc>
        <w:tc>
          <w:tcPr>
            <w:tcW w:w="7269" w:type="dxa"/>
            <w:shd w:val="clear" w:color="auto" w:fill="auto"/>
          </w:tcPr>
          <w:p w14:paraId="31AF31FE" w14:textId="77777777" w:rsidR="00234100" w:rsidRPr="001F4F6E" w:rsidRDefault="00234100" w:rsidP="00F40E42">
            <w:pPr>
              <w:spacing w:before="40" w:after="40"/>
              <w:rPr>
                <w:szCs w:val="24"/>
              </w:rPr>
            </w:pPr>
          </w:p>
        </w:tc>
      </w:tr>
      <w:tr w:rsidR="00234100" w:rsidRPr="001F4F6E" w14:paraId="3A58A96B" w14:textId="77777777" w:rsidTr="004F4B15">
        <w:tc>
          <w:tcPr>
            <w:tcW w:w="2925" w:type="dxa"/>
            <w:shd w:val="clear" w:color="auto" w:fill="auto"/>
          </w:tcPr>
          <w:p w14:paraId="717D026F" w14:textId="77777777" w:rsidR="00234100" w:rsidRPr="001F4F6E" w:rsidRDefault="00234100" w:rsidP="00F40E42">
            <w:pPr>
              <w:spacing w:before="40" w:after="40"/>
              <w:rPr>
                <w:b/>
                <w:szCs w:val="24"/>
              </w:rPr>
            </w:pPr>
            <w:r w:rsidRPr="001F4F6E">
              <w:rPr>
                <w:b/>
                <w:szCs w:val="24"/>
              </w:rPr>
              <w:t>Organisation</w:t>
            </w:r>
          </w:p>
        </w:tc>
        <w:tc>
          <w:tcPr>
            <w:tcW w:w="7269" w:type="dxa"/>
            <w:shd w:val="clear" w:color="auto" w:fill="auto"/>
          </w:tcPr>
          <w:p w14:paraId="63D3405A" w14:textId="77777777" w:rsidR="00234100" w:rsidRPr="001F4F6E" w:rsidRDefault="00234100" w:rsidP="00F40E42">
            <w:pPr>
              <w:spacing w:before="40" w:after="40"/>
              <w:rPr>
                <w:szCs w:val="24"/>
              </w:rPr>
            </w:pPr>
          </w:p>
        </w:tc>
      </w:tr>
      <w:tr w:rsidR="00234100" w:rsidRPr="001F4F6E" w14:paraId="6D8D2772" w14:textId="77777777" w:rsidTr="004F4B15">
        <w:tc>
          <w:tcPr>
            <w:tcW w:w="2925" w:type="dxa"/>
            <w:shd w:val="clear" w:color="auto" w:fill="auto"/>
          </w:tcPr>
          <w:p w14:paraId="766836D9" w14:textId="77777777" w:rsidR="00234100" w:rsidRPr="001F4F6E" w:rsidRDefault="00234100" w:rsidP="00F40E42">
            <w:pPr>
              <w:spacing w:before="40" w:after="40"/>
              <w:rPr>
                <w:b/>
                <w:szCs w:val="24"/>
              </w:rPr>
            </w:pPr>
            <w:r w:rsidRPr="001F4F6E">
              <w:rPr>
                <w:b/>
                <w:szCs w:val="24"/>
              </w:rPr>
              <w:t>Email</w:t>
            </w:r>
            <w:r w:rsidR="00820A2C" w:rsidRPr="001F4F6E">
              <w:rPr>
                <w:b/>
                <w:szCs w:val="24"/>
              </w:rPr>
              <w:t>*</w:t>
            </w:r>
          </w:p>
        </w:tc>
        <w:tc>
          <w:tcPr>
            <w:tcW w:w="7269" w:type="dxa"/>
            <w:shd w:val="clear" w:color="auto" w:fill="auto"/>
          </w:tcPr>
          <w:p w14:paraId="170D1FE4" w14:textId="77777777" w:rsidR="00234100" w:rsidRPr="001F4F6E" w:rsidRDefault="00234100" w:rsidP="00F40E42">
            <w:pPr>
              <w:spacing w:before="40" w:after="40"/>
              <w:rPr>
                <w:szCs w:val="24"/>
              </w:rPr>
            </w:pPr>
          </w:p>
        </w:tc>
      </w:tr>
    </w:tbl>
    <w:p w14:paraId="5B2F3467" w14:textId="77777777" w:rsidR="005864F7" w:rsidRPr="001F4F6E" w:rsidRDefault="00820A2C" w:rsidP="00820A2C">
      <w:pPr>
        <w:spacing w:before="0"/>
        <w:rPr>
          <w:szCs w:val="24"/>
        </w:rPr>
      </w:pPr>
      <w:r w:rsidRPr="001F4F6E">
        <w:rPr>
          <w:sz w:val="20"/>
          <w:szCs w:val="24"/>
        </w:rPr>
        <w:t>*This information will not be published on our website.</w:t>
      </w:r>
      <w:r w:rsidR="007A41C7" w:rsidRPr="001F4F6E">
        <w:rPr>
          <w:sz w:val="20"/>
          <w:szCs w:val="24"/>
        </w:rPr>
        <w:t xml:space="preserve"> </w:t>
      </w:r>
    </w:p>
    <w:p w14:paraId="3CFA3427" w14:textId="77777777" w:rsidR="004F4B15" w:rsidRPr="001F4F6E" w:rsidRDefault="004F4B15" w:rsidP="00995FBF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314"/>
      </w:tblGrid>
      <w:tr w:rsidR="00445392" w:rsidRPr="001F4F6E" w14:paraId="1937DDA3" w14:textId="77777777" w:rsidTr="00445392">
        <w:tc>
          <w:tcPr>
            <w:tcW w:w="10314" w:type="dxa"/>
            <w:shd w:val="clear" w:color="auto" w:fill="1F3864" w:themeFill="accent5" w:themeFillShade="80"/>
          </w:tcPr>
          <w:p w14:paraId="65AF82C0" w14:textId="77777777" w:rsidR="00445392" w:rsidRPr="001F4F6E" w:rsidRDefault="00984F8A" w:rsidP="00984F8A">
            <w:pPr>
              <w:rPr>
                <w:b/>
                <w:color w:val="FFFFFF" w:themeColor="background1"/>
                <w:szCs w:val="24"/>
              </w:rPr>
            </w:pPr>
            <w:r>
              <w:rPr>
                <w:b/>
                <w:szCs w:val="24"/>
              </w:rPr>
              <w:t xml:space="preserve">ORR’s new policy – ‘Holding Network Rail to Account’ </w:t>
            </w:r>
            <w:r w:rsidR="00AC65B4">
              <w:rPr>
                <w:b/>
                <w:szCs w:val="24"/>
              </w:rPr>
              <w:t xml:space="preserve">(Chapter </w:t>
            </w:r>
            <w:r>
              <w:rPr>
                <w:b/>
                <w:szCs w:val="24"/>
              </w:rPr>
              <w:t>1</w:t>
            </w:r>
            <w:r w:rsidR="008152FE">
              <w:rPr>
                <w:b/>
                <w:szCs w:val="24"/>
              </w:rPr>
              <w:t>: Introduction</w:t>
            </w:r>
            <w:r w:rsidR="00AC65B4">
              <w:rPr>
                <w:b/>
                <w:szCs w:val="24"/>
              </w:rPr>
              <w:t>)</w:t>
            </w:r>
          </w:p>
        </w:tc>
      </w:tr>
      <w:tr w:rsidR="004C58B7" w:rsidRPr="001F4F6E" w14:paraId="6BD63587" w14:textId="77777777" w:rsidTr="004C58B7">
        <w:tc>
          <w:tcPr>
            <w:tcW w:w="10314" w:type="dxa"/>
            <w:shd w:val="clear" w:color="auto" w:fill="FFFFFF"/>
          </w:tcPr>
          <w:p w14:paraId="0F3E808C" w14:textId="77777777" w:rsidR="004C58B7" w:rsidRPr="001F4F6E" w:rsidRDefault="00445392" w:rsidP="00D251C5">
            <w:pPr>
              <w:rPr>
                <w:szCs w:val="24"/>
              </w:rPr>
            </w:pPr>
            <w:r w:rsidRPr="001F4F6E">
              <w:rPr>
                <w:b/>
                <w:szCs w:val="24"/>
              </w:rPr>
              <w:t xml:space="preserve">Q1. </w:t>
            </w:r>
            <w:r w:rsidR="00984F8A" w:rsidRPr="00984F8A">
              <w:rPr>
                <w:b/>
                <w:szCs w:val="24"/>
              </w:rPr>
              <w:t>Do you agree with our proposal to create a new, standalone policy for holding Network Rail to account, replacing the existing monitoring and economic enforcement policy for Network Rail?</w:t>
            </w:r>
          </w:p>
        </w:tc>
      </w:tr>
      <w:tr w:rsidR="004C58B7" w:rsidRPr="001F4F6E" w14:paraId="3572541D" w14:textId="77777777" w:rsidTr="004F4B15">
        <w:trPr>
          <w:trHeight w:val="1731"/>
        </w:trPr>
        <w:tc>
          <w:tcPr>
            <w:tcW w:w="10314" w:type="dxa"/>
            <w:shd w:val="clear" w:color="auto" w:fill="FFFFFF"/>
          </w:tcPr>
          <w:p w14:paraId="13D05E80" w14:textId="77777777" w:rsidR="004C58B7" w:rsidRPr="001F4F6E" w:rsidRDefault="004C58B7" w:rsidP="004C58B7"/>
          <w:p w14:paraId="3BC6220D" w14:textId="77777777" w:rsidR="00B30DF2" w:rsidRPr="001F4F6E" w:rsidRDefault="00B30DF2" w:rsidP="004C58B7"/>
          <w:p w14:paraId="3B15267D" w14:textId="77777777" w:rsidR="00B30DF2" w:rsidRPr="001F4F6E" w:rsidRDefault="00B30DF2" w:rsidP="004C58B7"/>
        </w:tc>
      </w:tr>
    </w:tbl>
    <w:p w14:paraId="7E11BA0B" w14:textId="77777777" w:rsidR="00445392" w:rsidRPr="001F4F6E" w:rsidRDefault="00445392" w:rsidP="005864F7">
      <w:pPr>
        <w:rPr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314"/>
      </w:tblGrid>
      <w:tr w:rsidR="00445392" w:rsidRPr="001F4F6E" w14:paraId="727BE2F7" w14:textId="77777777" w:rsidTr="00445392">
        <w:tc>
          <w:tcPr>
            <w:tcW w:w="10314" w:type="dxa"/>
            <w:shd w:val="clear" w:color="auto" w:fill="1F3864" w:themeFill="accent5" w:themeFillShade="80"/>
          </w:tcPr>
          <w:p w14:paraId="091B2C37" w14:textId="77777777" w:rsidR="00445392" w:rsidRPr="001F4F6E" w:rsidRDefault="00AC65B4" w:rsidP="00024DF3">
            <w:pPr>
              <w:rPr>
                <w:b/>
                <w:color w:val="FFFFFF" w:themeColor="background1"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984F8A">
              <w:rPr>
                <w:b/>
                <w:szCs w:val="24"/>
              </w:rPr>
              <w:t xml:space="preserve">ORR’s new policy – ‘Holding Network Rail to Account’ </w:t>
            </w:r>
            <w:r>
              <w:rPr>
                <w:b/>
                <w:szCs w:val="24"/>
              </w:rPr>
              <w:t>(Chapter 2</w:t>
            </w:r>
            <w:r w:rsidR="008152FE">
              <w:rPr>
                <w:b/>
                <w:szCs w:val="24"/>
              </w:rPr>
              <w:t>: Our aim and approach</w:t>
            </w:r>
            <w:r>
              <w:rPr>
                <w:b/>
                <w:szCs w:val="24"/>
              </w:rPr>
              <w:t>)</w:t>
            </w:r>
          </w:p>
        </w:tc>
      </w:tr>
      <w:tr w:rsidR="00B30DF2" w:rsidRPr="001F4F6E" w14:paraId="5C3A7631" w14:textId="77777777" w:rsidTr="00024DF3">
        <w:tc>
          <w:tcPr>
            <w:tcW w:w="10314" w:type="dxa"/>
            <w:shd w:val="clear" w:color="auto" w:fill="FFFFFF"/>
          </w:tcPr>
          <w:p w14:paraId="15BF0549" w14:textId="77777777" w:rsidR="00B30DF2" w:rsidRPr="00984F8A" w:rsidRDefault="00445392" w:rsidP="00984F8A">
            <w:pPr>
              <w:pBdr>
                <w:top w:val="single" w:sz="2" w:space="15" w:color="F3F3F6"/>
                <w:left w:val="single" w:sz="2" w:space="0" w:color="F3F3F6"/>
                <w:bottom w:val="single" w:sz="2" w:space="31" w:color="F3F3F6"/>
                <w:right w:val="single" w:sz="2" w:space="15" w:color="F3F3F6"/>
              </w:pBdr>
              <w:rPr>
                <w:b/>
                <w:szCs w:val="24"/>
              </w:rPr>
            </w:pPr>
            <w:r w:rsidRPr="001F4F6E">
              <w:rPr>
                <w:b/>
                <w:szCs w:val="24"/>
              </w:rPr>
              <w:t xml:space="preserve">Q2. </w:t>
            </w:r>
            <w:r w:rsidR="00984F8A" w:rsidRPr="00984F8A">
              <w:rPr>
                <w:b/>
                <w:szCs w:val="24"/>
              </w:rPr>
              <w:t>Do you agree with the policy aims and approach, and is there anything else we should set out in the policy to help meet these objectives?</w:t>
            </w:r>
          </w:p>
        </w:tc>
      </w:tr>
      <w:tr w:rsidR="00B30DF2" w:rsidRPr="001F4F6E" w14:paraId="781BB794" w14:textId="77777777" w:rsidTr="00024DF3">
        <w:trPr>
          <w:trHeight w:val="1683"/>
        </w:trPr>
        <w:tc>
          <w:tcPr>
            <w:tcW w:w="10314" w:type="dxa"/>
            <w:shd w:val="clear" w:color="auto" w:fill="FFFFFF"/>
          </w:tcPr>
          <w:p w14:paraId="49D52A3D" w14:textId="77777777" w:rsidR="00B30DF2" w:rsidRPr="001F4F6E" w:rsidRDefault="00B30DF2" w:rsidP="00024DF3"/>
          <w:p w14:paraId="11C24A58" w14:textId="77777777" w:rsidR="00B30DF2" w:rsidRPr="001F4F6E" w:rsidRDefault="00B30DF2" w:rsidP="00024DF3"/>
          <w:p w14:paraId="65AABFD3" w14:textId="77777777" w:rsidR="00B30DF2" w:rsidRDefault="00B30DF2" w:rsidP="00024DF3"/>
          <w:p w14:paraId="628DE1C9" w14:textId="77777777" w:rsidR="008152FE" w:rsidRPr="001F4F6E" w:rsidRDefault="008152FE" w:rsidP="00024DF3"/>
        </w:tc>
      </w:tr>
    </w:tbl>
    <w:p w14:paraId="5A5EA79E" w14:textId="77777777" w:rsidR="00B30DF2" w:rsidRPr="001F4F6E" w:rsidRDefault="00B30DF2" w:rsidP="005864F7">
      <w:pPr>
        <w:rPr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314"/>
      </w:tblGrid>
      <w:tr w:rsidR="004F4B15" w:rsidRPr="001F4F6E" w14:paraId="54FDBD6E" w14:textId="77777777" w:rsidTr="004F4B15">
        <w:tc>
          <w:tcPr>
            <w:tcW w:w="10314" w:type="dxa"/>
            <w:shd w:val="clear" w:color="auto" w:fill="1F3864" w:themeFill="accent5" w:themeFillShade="80"/>
          </w:tcPr>
          <w:p w14:paraId="7C51462A" w14:textId="77777777" w:rsidR="004F4B15" w:rsidRPr="001F4F6E" w:rsidRDefault="00984F8A" w:rsidP="00984F8A">
            <w:pPr>
              <w:rPr>
                <w:b/>
                <w:color w:val="FFFFFF" w:themeColor="background1"/>
              </w:rPr>
            </w:pPr>
            <w:r>
              <w:rPr>
                <w:b/>
                <w:szCs w:val="24"/>
              </w:rPr>
              <w:t xml:space="preserve">ORR’s new policy – ‘Holding Network Rail to Account’ </w:t>
            </w:r>
            <w:r w:rsidR="00AC65B4">
              <w:rPr>
                <w:b/>
                <w:szCs w:val="24"/>
              </w:rPr>
              <w:t xml:space="preserve">(Chapter </w:t>
            </w:r>
            <w:r>
              <w:rPr>
                <w:b/>
                <w:szCs w:val="24"/>
              </w:rPr>
              <w:t>3</w:t>
            </w:r>
            <w:r w:rsidR="008152FE">
              <w:rPr>
                <w:b/>
                <w:szCs w:val="24"/>
              </w:rPr>
              <w:t>: Routine monitoring and assessment</w:t>
            </w:r>
            <w:r w:rsidR="00AC65B4">
              <w:rPr>
                <w:b/>
                <w:szCs w:val="24"/>
              </w:rPr>
              <w:t>)</w:t>
            </w:r>
          </w:p>
        </w:tc>
      </w:tr>
      <w:tr w:rsidR="00AF1FED" w:rsidRPr="001F4F6E" w14:paraId="4A3D7AE1" w14:textId="77777777" w:rsidTr="00AF1FED">
        <w:tc>
          <w:tcPr>
            <w:tcW w:w="10314" w:type="dxa"/>
            <w:shd w:val="clear" w:color="auto" w:fill="FFFFFF"/>
          </w:tcPr>
          <w:p w14:paraId="25590EB0" w14:textId="77777777" w:rsidR="00984F8A" w:rsidRPr="00984F8A" w:rsidRDefault="005B02A5" w:rsidP="00984F8A">
            <w:pPr>
              <w:spacing w:after="160" w:line="259" w:lineRule="auto"/>
              <w:rPr>
                <w:b/>
                <w:szCs w:val="24"/>
              </w:rPr>
            </w:pPr>
            <w:r>
              <w:rPr>
                <w:b/>
              </w:rPr>
              <w:t>Q3</w:t>
            </w:r>
            <w:r w:rsidR="004F4B15" w:rsidRPr="001F4F6E">
              <w:rPr>
                <w:b/>
              </w:rPr>
              <w:t xml:space="preserve">. </w:t>
            </w:r>
            <w:r w:rsidR="00984F8A" w:rsidRPr="00984F8A">
              <w:rPr>
                <w:b/>
                <w:szCs w:val="24"/>
              </w:rPr>
              <w:t xml:space="preserve">What are your views on our proposals for routine monitoring and assessment, </w:t>
            </w:r>
            <w:proofErr w:type="gramStart"/>
            <w:r w:rsidR="00984F8A" w:rsidRPr="00984F8A">
              <w:rPr>
                <w:b/>
                <w:szCs w:val="24"/>
              </w:rPr>
              <w:t>specifically:</w:t>
            </w:r>
            <w:proofErr w:type="gramEnd"/>
          </w:p>
          <w:p w14:paraId="649534BA" w14:textId="77777777" w:rsidR="00984F8A" w:rsidRPr="00984F8A" w:rsidRDefault="00984F8A" w:rsidP="00984F8A">
            <w:pPr>
              <w:pStyle w:val="ListParagraph"/>
              <w:numPr>
                <w:ilvl w:val="0"/>
                <w:numId w:val="10"/>
              </w:numPr>
              <w:spacing w:before="0" w:after="160" w:line="259" w:lineRule="auto"/>
              <w:contextualSpacing/>
              <w:rPr>
                <w:rFonts w:ascii="Arial" w:hAnsi="Arial" w:cs="Arial"/>
                <w:b/>
                <w:lang w:eastAsia="en-US"/>
              </w:rPr>
            </w:pPr>
            <w:r w:rsidRPr="00984F8A">
              <w:rPr>
                <w:rFonts w:ascii="Arial" w:hAnsi="Arial" w:cs="Arial"/>
                <w:b/>
                <w:lang w:eastAsia="en-US"/>
              </w:rPr>
              <w:t xml:space="preserve">Monitoring and assessing Network Rail’s </w:t>
            </w:r>
            <w:proofErr w:type="gramStart"/>
            <w:r w:rsidRPr="00984F8A">
              <w:rPr>
                <w:rFonts w:ascii="Arial" w:hAnsi="Arial" w:cs="Arial"/>
                <w:b/>
                <w:lang w:eastAsia="en-US"/>
              </w:rPr>
              <w:t>performance;</w:t>
            </w:r>
            <w:proofErr w:type="gramEnd"/>
          </w:p>
          <w:p w14:paraId="4B14A5A7" w14:textId="77777777" w:rsidR="00984F8A" w:rsidRPr="00984F8A" w:rsidRDefault="00984F8A" w:rsidP="00984F8A">
            <w:pPr>
              <w:pStyle w:val="ListParagraph"/>
              <w:numPr>
                <w:ilvl w:val="0"/>
                <w:numId w:val="10"/>
              </w:numPr>
              <w:spacing w:before="0" w:after="160" w:line="259" w:lineRule="auto"/>
              <w:contextualSpacing/>
              <w:rPr>
                <w:rFonts w:ascii="Arial" w:hAnsi="Arial" w:cs="Arial"/>
                <w:b/>
                <w:lang w:eastAsia="en-US"/>
              </w:rPr>
            </w:pPr>
            <w:r w:rsidRPr="00984F8A">
              <w:rPr>
                <w:rFonts w:ascii="Arial" w:hAnsi="Arial" w:cs="Arial"/>
                <w:b/>
                <w:lang w:eastAsia="en-US"/>
              </w:rPr>
              <w:t xml:space="preserve">Monitoring and assessing the strength of route and System Operator-level </w:t>
            </w:r>
            <w:proofErr w:type="gramStart"/>
            <w:r w:rsidRPr="00984F8A">
              <w:rPr>
                <w:rFonts w:ascii="Arial" w:hAnsi="Arial" w:cs="Arial"/>
                <w:b/>
                <w:lang w:eastAsia="en-US"/>
              </w:rPr>
              <w:t>accountability;</w:t>
            </w:r>
            <w:proofErr w:type="gramEnd"/>
          </w:p>
          <w:p w14:paraId="7223C896" w14:textId="77777777" w:rsidR="00984F8A" w:rsidRPr="00984F8A" w:rsidRDefault="00984F8A" w:rsidP="00984F8A">
            <w:pPr>
              <w:pStyle w:val="ListParagraph"/>
              <w:numPr>
                <w:ilvl w:val="0"/>
                <w:numId w:val="10"/>
              </w:numPr>
              <w:spacing w:before="0" w:after="160" w:line="259" w:lineRule="auto"/>
              <w:contextualSpacing/>
              <w:rPr>
                <w:rFonts w:ascii="Arial" w:hAnsi="Arial" w:cs="Arial"/>
                <w:b/>
                <w:lang w:eastAsia="en-US"/>
              </w:rPr>
            </w:pPr>
            <w:r w:rsidRPr="00984F8A">
              <w:rPr>
                <w:rFonts w:ascii="Arial" w:hAnsi="Arial" w:cs="Arial"/>
                <w:b/>
                <w:lang w:eastAsia="en-US"/>
              </w:rPr>
              <w:t>our approach to risk-based and targeted monitoring; and</w:t>
            </w:r>
          </w:p>
          <w:p w14:paraId="61D32949" w14:textId="77777777" w:rsidR="00984F8A" w:rsidRPr="00984F8A" w:rsidRDefault="00984F8A" w:rsidP="00984F8A">
            <w:pPr>
              <w:pStyle w:val="ListParagraph"/>
              <w:numPr>
                <w:ilvl w:val="0"/>
                <w:numId w:val="10"/>
              </w:numPr>
              <w:spacing w:before="0" w:after="160" w:line="259" w:lineRule="auto"/>
              <w:contextualSpacing/>
              <w:rPr>
                <w:rFonts w:ascii="Arial" w:hAnsi="Arial" w:cs="Arial"/>
                <w:b/>
                <w:lang w:eastAsia="en-US"/>
              </w:rPr>
            </w:pPr>
            <w:r w:rsidRPr="00984F8A">
              <w:rPr>
                <w:rFonts w:ascii="Arial" w:hAnsi="Arial" w:cs="Arial"/>
                <w:b/>
                <w:lang w:eastAsia="en-US"/>
              </w:rPr>
              <w:t>the aims of our public reporting?</w:t>
            </w:r>
          </w:p>
          <w:p w14:paraId="7CE3CD07" w14:textId="77777777" w:rsidR="00AF1FED" w:rsidRPr="00EB60C7" w:rsidRDefault="00AF1FED" w:rsidP="00984F8A">
            <w:pPr>
              <w:rPr>
                <w:b/>
              </w:rPr>
            </w:pPr>
          </w:p>
        </w:tc>
      </w:tr>
      <w:tr w:rsidR="00AF1FED" w:rsidRPr="001F4F6E" w14:paraId="72C6F750" w14:textId="77777777" w:rsidTr="00B30DF2">
        <w:trPr>
          <w:trHeight w:val="1610"/>
        </w:trPr>
        <w:tc>
          <w:tcPr>
            <w:tcW w:w="10314" w:type="dxa"/>
            <w:shd w:val="clear" w:color="auto" w:fill="FFFFFF"/>
          </w:tcPr>
          <w:p w14:paraId="339FF4F6" w14:textId="77777777" w:rsidR="00AF1FED" w:rsidRDefault="00AF1FED" w:rsidP="00AF1FED"/>
          <w:p w14:paraId="1A855870" w14:textId="77777777" w:rsidR="00984F8A" w:rsidRDefault="00984F8A" w:rsidP="00AF1FED"/>
          <w:p w14:paraId="089E76B7" w14:textId="77777777" w:rsidR="008152FE" w:rsidRDefault="008152FE" w:rsidP="00AF1FED"/>
          <w:p w14:paraId="423CFC88" w14:textId="77777777" w:rsidR="008152FE" w:rsidRDefault="008152FE" w:rsidP="00AF1FED"/>
          <w:p w14:paraId="38B0D422" w14:textId="77777777" w:rsidR="00984F8A" w:rsidRPr="001F4F6E" w:rsidRDefault="00984F8A" w:rsidP="00AF1FED"/>
        </w:tc>
      </w:tr>
    </w:tbl>
    <w:p w14:paraId="560AA588" w14:textId="77777777" w:rsidR="00434419" w:rsidRPr="001F4F6E" w:rsidRDefault="00434419" w:rsidP="005864F7">
      <w:pPr>
        <w:rPr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314"/>
      </w:tblGrid>
      <w:tr w:rsidR="004F4B15" w:rsidRPr="001F4F6E" w14:paraId="6C44E578" w14:textId="77777777" w:rsidTr="004F4B15">
        <w:tc>
          <w:tcPr>
            <w:tcW w:w="10314" w:type="dxa"/>
            <w:shd w:val="clear" w:color="auto" w:fill="1F3864" w:themeFill="accent5" w:themeFillShade="80"/>
          </w:tcPr>
          <w:p w14:paraId="717D3AC7" w14:textId="77777777" w:rsidR="004F4B15" w:rsidRPr="001F4F6E" w:rsidRDefault="00984F8A" w:rsidP="00984F8A">
            <w:pPr>
              <w:rPr>
                <w:b/>
                <w:color w:val="FFFFFF" w:themeColor="background1"/>
              </w:rPr>
            </w:pPr>
            <w:r>
              <w:rPr>
                <w:b/>
                <w:szCs w:val="24"/>
              </w:rPr>
              <w:t>ORR’s new policy – ‘Holding Network Rail to Account’ (</w:t>
            </w:r>
            <w:r w:rsidR="00AC65B4">
              <w:rPr>
                <w:b/>
                <w:szCs w:val="24"/>
              </w:rPr>
              <w:t xml:space="preserve">Chapter </w:t>
            </w:r>
            <w:r>
              <w:rPr>
                <w:b/>
                <w:szCs w:val="24"/>
              </w:rPr>
              <w:t>4</w:t>
            </w:r>
            <w:r w:rsidR="008152FE">
              <w:rPr>
                <w:b/>
                <w:szCs w:val="24"/>
              </w:rPr>
              <w:t>: Investigation and early resolution</w:t>
            </w:r>
            <w:r w:rsidR="00AC65B4">
              <w:rPr>
                <w:b/>
                <w:szCs w:val="24"/>
              </w:rPr>
              <w:t>)</w:t>
            </w:r>
          </w:p>
        </w:tc>
      </w:tr>
      <w:tr w:rsidR="00AF1FED" w:rsidRPr="001F4F6E" w14:paraId="6EC07890" w14:textId="77777777" w:rsidTr="00AF1FED">
        <w:tc>
          <w:tcPr>
            <w:tcW w:w="10314" w:type="dxa"/>
            <w:shd w:val="clear" w:color="auto" w:fill="FFFFFF"/>
          </w:tcPr>
          <w:p w14:paraId="2A240C21" w14:textId="77777777" w:rsidR="00984F8A" w:rsidRPr="00984F8A" w:rsidRDefault="004F4B15" w:rsidP="00984F8A">
            <w:pPr>
              <w:spacing w:after="160" w:line="259" w:lineRule="auto"/>
              <w:rPr>
                <w:b/>
              </w:rPr>
            </w:pPr>
            <w:r w:rsidRPr="001F4F6E">
              <w:rPr>
                <w:b/>
              </w:rPr>
              <w:t xml:space="preserve">Q4. </w:t>
            </w:r>
            <w:r w:rsidR="00984F8A" w:rsidRPr="00984F8A">
              <w:rPr>
                <w:b/>
              </w:rPr>
              <w:t xml:space="preserve">What are your views on our proposed approach, </w:t>
            </w:r>
            <w:proofErr w:type="gramStart"/>
            <w:r w:rsidR="00984F8A" w:rsidRPr="00984F8A">
              <w:rPr>
                <w:b/>
              </w:rPr>
              <w:t>specifically:</w:t>
            </w:r>
            <w:proofErr w:type="gramEnd"/>
          </w:p>
          <w:p w14:paraId="43F2183E" w14:textId="77777777" w:rsidR="00984F8A" w:rsidRPr="00984F8A" w:rsidRDefault="00984F8A" w:rsidP="00984F8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b/>
              </w:rPr>
            </w:pPr>
            <w:r w:rsidRPr="00984F8A">
              <w:rPr>
                <w:rFonts w:ascii="Arial" w:hAnsi="Arial" w:cs="Arial"/>
                <w:b/>
              </w:rPr>
              <w:t xml:space="preserve">the factors we will consider when assessing </w:t>
            </w:r>
            <w:proofErr w:type="gramStart"/>
            <w:r w:rsidRPr="00984F8A">
              <w:rPr>
                <w:rFonts w:ascii="Arial" w:hAnsi="Arial" w:cs="Arial"/>
                <w:b/>
              </w:rPr>
              <w:t>concerns;</w:t>
            </w:r>
            <w:proofErr w:type="gramEnd"/>
          </w:p>
          <w:p w14:paraId="3998DC97" w14:textId="77777777" w:rsidR="00984F8A" w:rsidRPr="00984F8A" w:rsidRDefault="00984F8A" w:rsidP="00984F8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b/>
              </w:rPr>
            </w:pPr>
            <w:r w:rsidRPr="00984F8A">
              <w:rPr>
                <w:rFonts w:ascii="Arial" w:hAnsi="Arial" w:cs="Arial"/>
                <w:b/>
              </w:rPr>
              <w:t>the actions we may take (such as using ORR hearings and requiring improvement plans); and</w:t>
            </w:r>
          </w:p>
          <w:p w14:paraId="38534D12" w14:textId="77777777" w:rsidR="00984F8A" w:rsidRPr="00984F8A" w:rsidRDefault="00984F8A" w:rsidP="00984F8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eastAsiaTheme="minorHAnsi"/>
                <w:lang w:val="en-US"/>
              </w:rPr>
            </w:pPr>
            <w:r w:rsidRPr="00984F8A">
              <w:rPr>
                <w:rFonts w:ascii="Arial" w:hAnsi="Arial" w:cs="Arial"/>
                <w:b/>
              </w:rPr>
              <w:t>communicating our investigations publicly?</w:t>
            </w:r>
          </w:p>
        </w:tc>
      </w:tr>
      <w:tr w:rsidR="00AF1FED" w:rsidRPr="001F4F6E" w14:paraId="76A1C7AE" w14:textId="77777777" w:rsidTr="00AF1FED">
        <w:trPr>
          <w:trHeight w:val="1320"/>
        </w:trPr>
        <w:tc>
          <w:tcPr>
            <w:tcW w:w="10314" w:type="dxa"/>
            <w:shd w:val="clear" w:color="auto" w:fill="FFFFFF"/>
          </w:tcPr>
          <w:p w14:paraId="68DE2206" w14:textId="77777777" w:rsidR="00AF1FED" w:rsidRDefault="00AF1FED" w:rsidP="00F06AB9"/>
          <w:p w14:paraId="2CCC27CF" w14:textId="77777777" w:rsidR="00984F8A" w:rsidRDefault="00984F8A" w:rsidP="00F06AB9"/>
          <w:p w14:paraId="2F1FEBB2" w14:textId="77777777" w:rsidR="00984F8A" w:rsidRPr="001F4F6E" w:rsidRDefault="00984F8A" w:rsidP="00F06AB9"/>
        </w:tc>
      </w:tr>
    </w:tbl>
    <w:p w14:paraId="37764B02" w14:textId="77777777" w:rsidR="00995FBF" w:rsidRPr="001F4F6E" w:rsidRDefault="00995FBF" w:rsidP="00537FF0">
      <w:pPr>
        <w:pStyle w:val="Heading5"/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314"/>
      </w:tblGrid>
      <w:tr w:rsidR="004F4B15" w:rsidRPr="001F4F6E" w14:paraId="3751CE6B" w14:textId="77777777" w:rsidTr="004F4B15">
        <w:tc>
          <w:tcPr>
            <w:tcW w:w="10314" w:type="dxa"/>
            <w:shd w:val="clear" w:color="auto" w:fill="1F3864" w:themeFill="accent5" w:themeFillShade="80"/>
          </w:tcPr>
          <w:p w14:paraId="50285BAD" w14:textId="77777777" w:rsidR="004F4B15" w:rsidRPr="00AC65B4" w:rsidRDefault="00984F8A" w:rsidP="00984F8A">
            <w:pPr>
              <w:rPr>
                <w:b/>
                <w:color w:val="FFFFFF" w:themeColor="background1"/>
              </w:rPr>
            </w:pPr>
            <w:r>
              <w:rPr>
                <w:b/>
                <w:szCs w:val="24"/>
              </w:rPr>
              <w:t xml:space="preserve">ORR’s new policy – ‘Holding Network Rail to Account’ </w:t>
            </w:r>
            <w:r w:rsidR="00AC65B4">
              <w:rPr>
                <w:b/>
                <w:szCs w:val="24"/>
              </w:rPr>
              <w:t xml:space="preserve">(Chapter </w:t>
            </w:r>
            <w:r>
              <w:rPr>
                <w:b/>
                <w:szCs w:val="24"/>
              </w:rPr>
              <w:t>5</w:t>
            </w:r>
            <w:r w:rsidR="008152FE">
              <w:rPr>
                <w:b/>
                <w:szCs w:val="24"/>
              </w:rPr>
              <w:t>: Enforcement</w:t>
            </w:r>
            <w:r w:rsidR="00AC65B4">
              <w:rPr>
                <w:b/>
                <w:szCs w:val="24"/>
              </w:rPr>
              <w:t>)</w:t>
            </w:r>
          </w:p>
        </w:tc>
      </w:tr>
      <w:tr w:rsidR="004F4B15" w:rsidRPr="001F4F6E" w14:paraId="2BECAF2B" w14:textId="77777777" w:rsidTr="00024DF3">
        <w:trPr>
          <w:trHeight w:val="1320"/>
        </w:trPr>
        <w:tc>
          <w:tcPr>
            <w:tcW w:w="10314" w:type="dxa"/>
            <w:shd w:val="clear" w:color="auto" w:fill="FFFFFF"/>
          </w:tcPr>
          <w:p w14:paraId="5868BF27" w14:textId="77777777" w:rsidR="008152FE" w:rsidRPr="008152FE" w:rsidRDefault="004F4B15" w:rsidP="008152FE">
            <w:pPr>
              <w:spacing w:after="160" w:line="259" w:lineRule="auto"/>
              <w:rPr>
                <w:b/>
              </w:rPr>
            </w:pPr>
            <w:r w:rsidRPr="001F4F6E">
              <w:rPr>
                <w:b/>
              </w:rPr>
              <w:t xml:space="preserve">Q5. </w:t>
            </w:r>
            <w:r w:rsidR="008152FE" w:rsidRPr="008152FE">
              <w:rPr>
                <w:b/>
              </w:rPr>
              <w:t>What are your views on our proposed approac</w:t>
            </w:r>
            <w:r w:rsidR="008152FE">
              <w:rPr>
                <w:b/>
              </w:rPr>
              <w:t xml:space="preserve">h to enforcement, </w:t>
            </w:r>
            <w:proofErr w:type="gramStart"/>
            <w:r w:rsidR="008152FE">
              <w:rPr>
                <w:b/>
              </w:rPr>
              <w:t>specifically:</w:t>
            </w:r>
            <w:proofErr w:type="gramEnd"/>
          </w:p>
          <w:p w14:paraId="457A24AB" w14:textId="77777777" w:rsidR="008152FE" w:rsidRPr="008152FE" w:rsidRDefault="008152FE" w:rsidP="008152F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b/>
              </w:rPr>
            </w:pPr>
            <w:r w:rsidRPr="008152FE">
              <w:rPr>
                <w:rFonts w:ascii="Arial" w:hAnsi="Arial" w:cs="Arial"/>
                <w:b/>
              </w:rPr>
              <w:t xml:space="preserve">the use of enforcement </w:t>
            </w:r>
            <w:proofErr w:type="gramStart"/>
            <w:r w:rsidRPr="008152FE">
              <w:rPr>
                <w:rFonts w:ascii="Arial" w:hAnsi="Arial" w:cs="Arial"/>
                <w:b/>
              </w:rPr>
              <w:t>orders;</w:t>
            </w:r>
            <w:proofErr w:type="gramEnd"/>
          </w:p>
          <w:p w14:paraId="79DD845E" w14:textId="77777777" w:rsidR="008152FE" w:rsidRPr="008152FE" w:rsidRDefault="008152FE" w:rsidP="008152F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b/>
              </w:rPr>
            </w:pPr>
            <w:r w:rsidRPr="008152FE">
              <w:rPr>
                <w:rFonts w:ascii="Arial" w:hAnsi="Arial" w:cs="Arial"/>
                <w:b/>
              </w:rPr>
              <w:t>the use of financial penalties; and</w:t>
            </w:r>
          </w:p>
          <w:p w14:paraId="422BF898" w14:textId="77777777" w:rsidR="004F4B15" w:rsidRPr="008152FE" w:rsidRDefault="008152FE" w:rsidP="008152F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b/>
              </w:rPr>
            </w:pPr>
            <w:r w:rsidRPr="008152FE">
              <w:rPr>
                <w:rFonts w:ascii="Arial" w:hAnsi="Arial" w:cs="Arial"/>
                <w:b/>
              </w:rPr>
              <w:t>the introduction of regulatory enforcement penalties?</w:t>
            </w:r>
          </w:p>
        </w:tc>
      </w:tr>
      <w:tr w:rsidR="004F4B15" w:rsidRPr="001F4F6E" w14:paraId="617D603C" w14:textId="77777777" w:rsidTr="00024DF3">
        <w:trPr>
          <w:trHeight w:val="1320"/>
        </w:trPr>
        <w:tc>
          <w:tcPr>
            <w:tcW w:w="10314" w:type="dxa"/>
            <w:shd w:val="clear" w:color="auto" w:fill="FFFFFF"/>
          </w:tcPr>
          <w:p w14:paraId="3208D731" w14:textId="77777777" w:rsidR="004F4B15" w:rsidRDefault="004F4B15" w:rsidP="004F4B15">
            <w:pPr>
              <w:rPr>
                <w:b/>
              </w:rPr>
            </w:pPr>
          </w:p>
          <w:p w14:paraId="18345316" w14:textId="77777777" w:rsidR="008152FE" w:rsidRDefault="008152FE" w:rsidP="004F4B15">
            <w:pPr>
              <w:rPr>
                <w:b/>
              </w:rPr>
            </w:pPr>
          </w:p>
          <w:p w14:paraId="2A643621" w14:textId="77777777" w:rsidR="008152FE" w:rsidRPr="001F4F6E" w:rsidRDefault="008152FE" w:rsidP="004F4B15">
            <w:pPr>
              <w:rPr>
                <w:b/>
              </w:rPr>
            </w:pPr>
          </w:p>
        </w:tc>
      </w:tr>
    </w:tbl>
    <w:p w14:paraId="21E1CC3E" w14:textId="77777777" w:rsidR="002B1769" w:rsidRPr="001F4F6E" w:rsidRDefault="002B1769" w:rsidP="002B1769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314"/>
      </w:tblGrid>
      <w:tr w:rsidR="004F4B15" w:rsidRPr="001F4F6E" w14:paraId="3BE1D2CA" w14:textId="77777777" w:rsidTr="004F4B15">
        <w:tc>
          <w:tcPr>
            <w:tcW w:w="10314" w:type="dxa"/>
            <w:shd w:val="clear" w:color="auto" w:fill="1F3864" w:themeFill="accent5" w:themeFillShade="80"/>
          </w:tcPr>
          <w:p w14:paraId="6E653652" w14:textId="77777777" w:rsidR="004F4B15" w:rsidRPr="001F4F6E" w:rsidRDefault="008152FE" w:rsidP="005B02A5">
            <w:pPr>
              <w:rPr>
                <w:b/>
                <w:color w:val="FFFFFF" w:themeColor="background1"/>
              </w:rPr>
            </w:pPr>
            <w:r>
              <w:rPr>
                <w:b/>
                <w:szCs w:val="24"/>
              </w:rPr>
              <w:t xml:space="preserve">ORR’s new policy – ‘Holding Network Rail to Account’ (Penalties statement - </w:t>
            </w:r>
            <w:r w:rsidRPr="008152FE">
              <w:rPr>
                <w:b/>
                <w:szCs w:val="24"/>
              </w:rPr>
              <w:t>Annex B</w:t>
            </w:r>
            <w:r>
              <w:rPr>
                <w:b/>
                <w:szCs w:val="24"/>
              </w:rPr>
              <w:t>)</w:t>
            </w:r>
            <w:r w:rsidRPr="00D65BFD">
              <w:rPr>
                <w:color w:val="00476B"/>
                <w:sz w:val="23"/>
                <w:szCs w:val="23"/>
              </w:rPr>
              <w:t>)</w:t>
            </w:r>
          </w:p>
        </w:tc>
      </w:tr>
      <w:tr w:rsidR="002B1769" w:rsidRPr="001F4F6E" w14:paraId="47252A3F" w14:textId="77777777" w:rsidTr="00024DF3">
        <w:tc>
          <w:tcPr>
            <w:tcW w:w="10314" w:type="dxa"/>
            <w:shd w:val="clear" w:color="auto" w:fill="FFFFFF"/>
          </w:tcPr>
          <w:p w14:paraId="6160518B" w14:textId="77777777" w:rsidR="001F4F6E" w:rsidRPr="008152FE" w:rsidRDefault="004F4B15" w:rsidP="00024DF3">
            <w:pPr>
              <w:rPr>
                <w:b/>
                <w:szCs w:val="24"/>
              </w:rPr>
            </w:pPr>
            <w:r w:rsidRPr="008152FE">
              <w:rPr>
                <w:b/>
                <w:szCs w:val="24"/>
              </w:rPr>
              <w:t xml:space="preserve">Q6. </w:t>
            </w:r>
            <w:r w:rsidR="008152FE" w:rsidRPr="008152FE">
              <w:rPr>
                <w:b/>
                <w:szCs w:val="24"/>
              </w:rPr>
              <w:t>What are your views on the penalties statement</w:t>
            </w:r>
            <w:proofErr w:type="gramStart"/>
            <w:r w:rsidR="008152FE" w:rsidRPr="008152FE">
              <w:rPr>
                <w:b/>
                <w:szCs w:val="24"/>
              </w:rPr>
              <w:t>, in particular, the</w:t>
            </w:r>
            <w:proofErr w:type="gramEnd"/>
            <w:r w:rsidR="008152FE" w:rsidRPr="008152FE">
              <w:rPr>
                <w:b/>
                <w:szCs w:val="24"/>
              </w:rPr>
              <w:t xml:space="preserve"> factors we should consider in deciding whether to impose a (financial) penalty, and the decision on the size of any (financial) penalty?</w:t>
            </w:r>
          </w:p>
        </w:tc>
      </w:tr>
      <w:tr w:rsidR="002B1769" w:rsidRPr="001F4F6E" w14:paraId="630BD1A3" w14:textId="77777777" w:rsidTr="00024DF3">
        <w:trPr>
          <w:trHeight w:val="1320"/>
        </w:trPr>
        <w:tc>
          <w:tcPr>
            <w:tcW w:w="10314" w:type="dxa"/>
            <w:shd w:val="clear" w:color="auto" w:fill="FFFFFF"/>
          </w:tcPr>
          <w:p w14:paraId="77D28A2D" w14:textId="77777777" w:rsidR="002B1769" w:rsidRPr="001F4F6E" w:rsidRDefault="002B1769" w:rsidP="00024DF3"/>
        </w:tc>
      </w:tr>
    </w:tbl>
    <w:p w14:paraId="57764CA1" w14:textId="77777777" w:rsidR="005B02A5" w:rsidRDefault="005B02A5" w:rsidP="002B1769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314"/>
      </w:tblGrid>
      <w:tr w:rsidR="00AC65B4" w:rsidRPr="00AC65B4" w14:paraId="2CBB6E01" w14:textId="77777777" w:rsidTr="009D7B98">
        <w:tc>
          <w:tcPr>
            <w:tcW w:w="10314" w:type="dxa"/>
            <w:shd w:val="clear" w:color="auto" w:fill="1F3864" w:themeFill="accent5" w:themeFillShade="80"/>
          </w:tcPr>
          <w:p w14:paraId="7066A456" w14:textId="77777777" w:rsidR="00AC65B4" w:rsidRPr="00AC65B4" w:rsidRDefault="008152FE" w:rsidP="009D7B98">
            <w:pPr>
              <w:rPr>
                <w:b/>
              </w:rPr>
            </w:pPr>
            <w:r>
              <w:rPr>
                <w:b/>
                <w:szCs w:val="24"/>
              </w:rPr>
              <w:t>ORR’s new policy – ‘Holding Network Rail to Account’</w:t>
            </w:r>
          </w:p>
        </w:tc>
      </w:tr>
      <w:tr w:rsidR="00AC65B4" w:rsidRPr="001F4F6E" w14:paraId="6D9D4107" w14:textId="77777777" w:rsidTr="009D7B98">
        <w:tc>
          <w:tcPr>
            <w:tcW w:w="10314" w:type="dxa"/>
            <w:shd w:val="clear" w:color="auto" w:fill="FFFFFF"/>
          </w:tcPr>
          <w:p w14:paraId="2D77F275" w14:textId="77777777" w:rsidR="00AC65B4" w:rsidRPr="001F4F6E" w:rsidRDefault="00AC65B4" w:rsidP="008152FE">
            <w:pPr>
              <w:rPr>
                <w:b/>
              </w:rPr>
            </w:pPr>
            <w:r w:rsidRPr="001F4F6E">
              <w:br w:type="page"/>
            </w:r>
            <w:r>
              <w:rPr>
                <w:b/>
              </w:rPr>
              <w:t>Q</w:t>
            </w:r>
            <w:r w:rsidR="008152FE">
              <w:rPr>
                <w:b/>
              </w:rPr>
              <w:t>7</w:t>
            </w:r>
            <w:r w:rsidRPr="001F4F6E">
              <w:rPr>
                <w:b/>
              </w:rPr>
              <w:t xml:space="preserve">. Do you have any </w:t>
            </w:r>
            <w:r>
              <w:rPr>
                <w:b/>
              </w:rPr>
              <w:t xml:space="preserve">other </w:t>
            </w:r>
            <w:r w:rsidRPr="001F4F6E">
              <w:rPr>
                <w:b/>
              </w:rPr>
              <w:t>comments</w:t>
            </w:r>
            <w:r>
              <w:rPr>
                <w:b/>
              </w:rPr>
              <w:t xml:space="preserve"> or views on </w:t>
            </w:r>
            <w:r w:rsidR="008152FE">
              <w:rPr>
                <w:b/>
              </w:rPr>
              <w:t>ORR’s new policy</w:t>
            </w:r>
            <w:r>
              <w:rPr>
                <w:b/>
              </w:rPr>
              <w:t>?</w:t>
            </w:r>
            <w:r w:rsidRPr="001F4F6E">
              <w:rPr>
                <w:b/>
              </w:rPr>
              <w:t xml:space="preserve"> </w:t>
            </w:r>
          </w:p>
        </w:tc>
      </w:tr>
      <w:tr w:rsidR="00AC65B4" w:rsidRPr="001F4F6E" w14:paraId="29D2008E" w14:textId="77777777" w:rsidTr="009D7B98">
        <w:trPr>
          <w:trHeight w:val="1320"/>
        </w:trPr>
        <w:tc>
          <w:tcPr>
            <w:tcW w:w="10314" w:type="dxa"/>
            <w:shd w:val="clear" w:color="auto" w:fill="FFFFFF"/>
          </w:tcPr>
          <w:p w14:paraId="44D4912B" w14:textId="77777777" w:rsidR="00AC65B4" w:rsidRPr="001F4F6E" w:rsidRDefault="00AC65B4" w:rsidP="009D7B98"/>
        </w:tc>
      </w:tr>
    </w:tbl>
    <w:p w14:paraId="786C0A92" w14:textId="77777777" w:rsidR="00AC65B4" w:rsidRDefault="00AC65B4" w:rsidP="002B1769"/>
    <w:p w14:paraId="63DE6BB6" w14:textId="77777777" w:rsidR="005B02A5" w:rsidRDefault="005B02A5" w:rsidP="002B1769"/>
    <w:p w14:paraId="66D71BE0" w14:textId="77777777" w:rsidR="00B30DF2" w:rsidRDefault="00D251C5" w:rsidP="002B1769">
      <w:r>
        <w:t>Thank you for taking the time to respond.</w:t>
      </w:r>
    </w:p>
    <w:sectPr w:rsidR="00B30DF2" w:rsidSect="00195B85">
      <w:pgSz w:w="11906" w:h="16838"/>
      <w:pgMar w:top="1440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86A8" w14:textId="77777777" w:rsidR="008672D5" w:rsidRDefault="008672D5">
      <w:r>
        <w:separator/>
      </w:r>
    </w:p>
  </w:endnote>
  <w:endnote w:type="continuationSeparator" w:id="0">
    <w:p w14:paraId="625DAB5A" w14:textId="77777777" w:rsidR="008672D5" w:rsidRDefault="0086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E877" w14:textId="77777777" w:rsidR="008672D5" w:rsidRDefault="008672D5">
      <w:r>
        <w:separator/>
      </w:r>
    </w:p>
  </w:footnote>
  <w:footnote w:type="continuationSeparator" w:id="0">
    <w:p w14:paraId="16ADE038" w14:textId="77777777" w:rsidR="008672D5" w:rsidRDefault="00867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0B2"/>
    <w:multiLevelType w:val="hybridMultilevel"/>
    <w:tmpl w:val="247CF7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685"/>
    <w:multiLevelType w:val="hybridMultilevel"/>
    <w:tmpl w:val="AD10BE78"/>
    <w:lvl w:ilvl="0" w:tplc="58E0069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238A"/>
    <w:multiLevelType w:val="hybridMultilevel"/>
    <w:tmpl w:val="4206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E1F35"/>
    <w:multiLevelType w:val="hybridMultilevel"/>
    <w:tmpl w:val="E1D682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87448"/>
    <w:multiLevelType w:val="hybridMultilevel"/>
    <w:tmpl w:val="633C8F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D39E4"/>
    <w:multiLevelType w:val="hybridMultilevel"/>
    <w:tmpl w:val="314CB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6589D"/>
    <w:multiLevelType w:val="hybridMultilevel"/>
    <w:tmpl w:val="0358B4FA"/>
    <w:lvl w:ilvl="0" w:tplc="B5D8CC7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C17B9"/>
    <w:multiLevelType w:val="multilevel"/>
    <w:tmpl w:val="DC8A3D0A"/>
    <w:name w:val="ORRSingleNumbers232215"/>
    <w:styleLink w:val="ORRNormalLists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bullet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731472"/>
      </w:rPr>
    </w:lvl>
    <w:lvl w:ilvl="3">
      <w:start w:val="1"/>
      <w:numFmt w:val="bullet"/>
      <w:lvlText w:val="­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  <w:color w:val="731472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bullet"/>
      <w:lvlText w:val="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731472"/>
      </w:rPr>
    </w:lvl>
    <w:lvl w:ilvl="7">
      <w:start w:val="1"/>
      <w:numFmt w:val="upperLetter"/>
      <w:lvlText w:val="(%8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2268"/>
        </w:tabs>
        <w:ind w:left="2268" w:hanging="567"/>
      </w:pPr>
      <w:rPr>
        <w:rFonts w:hint="default"/>
      </w:rPr>
    </w:lvl>
  </w:abstractNum>
  <w:abstractNum w:abstractNumId="8" w15:restartNumberingAfterBreak="0">
    <w:nsid w:val="2FD548FE"/>
    <w:multiLevelType w:val="hybridMultilevel"/>
    <w:tmpl w:val="185248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C3529"/>
    <w:multiLevelType w:val="hybridMultilevel"/>
    <w:tmpl w:val="5AA87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D27FD"/>
    <w:multiLevelType w:val="hybridMultilevel"/>
    <w:tmpl w:val="87A44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F77BF"/>
    <w:multiLevelType w:val="hybridMultilevel"/>
    <w:tmpl w:val="7334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5089B"/>
    <w:multiLevelType w:val="hybridMultilevel"/>
    <w:tmpl w:val="9E9A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12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2F1"/>
    <w:rsid w:val="00024DF3"/>
    <w:rsid w:val="00025F73"/>
    <w:rsid w:val="0005794F"/>
    <w:rsid w:val="000822A5"/>
    <w:rsid w:val="000831BC"/>
    <w:rsid w:val="00090F92"/>
    <w:rsid w:val="000A0DC5"/>
    <w:rsid w:val="000B1C9D"/>
    <w:rsid w:val="000B2A68"/>
    <w:rsid w:val="00101707"/>
    <w:rsid w:val="00107AB4"/>
    <w:rsid w:val="0012509E"/>
    <w:rsid w:val="00133E15"/>
    <w:rsid w:val="00195B85"/>
    <w:rsid w:val="001A5624"/>
    <w:rsid w:val="001B6E4F"/>
    <w:rsid w:val="001F4F6E"/>
    <w:rsid w:val="00212308"/>
    <w:rsid w:val="00221F2D"/>
    <w:rsid w:val="00234100"/>
    <w:rsid w:val="002517B2"/>
    <w:rsid w:val="002B1769"/>
    <w:rsid w:val="002B63B8"/>
    <w:rsid w:val="002F5600"/>
    <w:rsid w:val="00336B0C"/>
    <w:rsid w:val="00353EED"/>
    <w:rsid w:val="003905D7"/>
    <w:rsid w:val="00391F23"/>
    <w:rsid w:val="003A5DD1"/>
    <w:rsid w:val="003E715F"/>
    <w:rsid w:val="003F3CEC"/>
    <w:rsid w:val="003F40AC"/>
    <w:rsid w:val="00434419"/>
    <w:rsid w:val="00434772"/>
    <w:rsid w:val="00441B9D"/>
    <w:rsid w:val="00445392"/>
    <w:rsid w:val="004500A1"/>
    <w:rsid w:val="00475736"/>
    <w:rsid w:val="00491B06"/>
    <w:rsid w:val="004A6289"/>
    <w:rsid w:val="004C58B7"/>
    <w:rsid w:val="004E1A9C"/>
    <w:rsid w:val="004F4B15"/>
    <w:rsid w:val="004F7C9A"/>
    <w:rsid w:val="00503F7B"/>
    <w:rsid w:val="0053120F"/>
    <w:rsid w:val="00537FF0"/>
    <w:rsid w:val="005864F7"/>
    <w:rsid w:val="005A0DB9"/>
    <w:rsid w:val="005B02A5"/>
    <w:rsid w:val="005C25D6"/>
    <w:rsid w:val="00627E72"/>
    <w:rsid w:val="00642E76"/>
    <w:rsid w:val="0065332F"/>
    <w:rsid w:val="00661378"/>
    <w:rsid w:val="00694D35"/>
    <w:rsid w:val="00730481"/>
    <w:rsid w:val="00744820"/>
    <w:rsid w:val="00773A23"/>
    <w:rsid w:val="0079468F"/>
    <w:rsid w:val="007A41C7"/>
    <w:rsid w:val="007B5C09"/>
    <w:rsid w:val="007E6CBA"/>
    <w:rsid w:val="007F02F1"/>
    <w:rsid w:val="007F61E7"/>
    <w:rsid w:val="008152FE"/>
    <w:rsid w:val="00820A2C"/>
    <w:rsid w:val="00835861"/>
    <w:rsid w:val="008672D5"/>
    <w:rsid w:val="00887F1F"/>
    <w:rsid w:val="00896292"/>
    <w:rsid w:val="00897214"/>
    <w:rsid w:val="008A1B86"/>
    <w:rsid w:val="008C3CAD"/>
    <w:rsid w:val="0090742C"/>
    <w:rsid w:val="00935E78"/>
    <w:rsid w:val="009671F2"/>
    <w:rsid w:val="00984F8A"/>
    <w:rsid w:val="00995FBF"/>
    <w:rsid w:val="009D08EC"/>
    <w:rsid w:val="00A24DC8"/>
    <w:rsid w:val="00A874E0"/>
    <w:rsid w:val="00AA2A27"/>
    <w:rsid w:val="00AB7AC1"/>
    <w:rsid w:val="00AC65B4"/>
    <w:rsid w:val="00AF1FED"/>
    <w:rsid w:val="00B23A0F"/>
    <w:rsid w:val="00B30DF2"/>
    <w:rsid w:val="00BA35CB"/>
    <w:rsid w:val="00BA6729"/>
    <w:rsid w:val="00BB3040"/>
    <w:rsid w:val="00BC1566"/>
    <w:rsid w:val="00BC24A0"/>
    <w:rsid w:val="00C22BD3"/>
    <w:rsid w:val="00CF2278"/>
    <w:rsid w:val="00D04C68"/>
    <w:rsid w:val="00D251C5"/>
    <w:rsid w:val="00D53A92"/>
    <w:rsid w:val="00DB24D5"/>
    <w:rsid w:val="00DC42EA"/>
    <w:rsid w:val="00DD1D57"/>
    <w:rsid w:val="00DD53EF"/>
    <w:rsid w:val="00E833D5"/>
    <w:rsid w:val="00E842B7"/>
    <w:rsid w:val="00E95B35"/>
    <w:rsid w:val="00EB60C7"/>
    <w:rsid w:val="00F06AB9"/>
    <w:rsid w:val="00F3545E"/>
    <w:rsid w:val="00F40E42"/>
    <w:rsid w:val="00F4328C"/>
    <w:rsid w:val="00F458C9"/>
    <w:rsid w:val="00F77656"/>
    <w:rsid w:val="00FA1C36"/>
    <w:rsid w:val="00FA29BC"/>
    <w:rsid w:val="00FB627D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A3ADE"/>
  <w15:chartTrackingRefBased/>
  <w15:docId w15:val="{534DAAD9-8B8A-4DDF-B06F-4571E817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B15"/>
    <w:pPr>
      <w:spacing w:before="120" w:after="120"/>
    </w:pPr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0A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F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27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B627D"/>
    <w:pPr>
      <w:keepLines/>
      <w:spacing w:before="200" w:after="0"/>
      <w:outlineLvl w:val="4"/>
    </w:pPr>
    <w:rPr>
      <w:rFonts w:ascii="Arial" w:hAnsi="Arial"/>
      <w:bCs w:val="0"/>
      <w:iCs/>
      <w:color w:val="00476B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64F7"/>
    <w:rPr>
      <w:rFonts w:ascii="Arial" w:hAnsi="Arial"/>
      <w:color w:val="0000FF"/>
      <w:sz w:val="24"/>
      <w:u w:val="single"/>
    </w:rPr>
  </w:style>
  <w:style w:type="paragraph" w:styleId="FootnoteText">
    <w:name w:val="footnote text"/>
    <w:basedOn w:val="Normal"/>
    <w:link w:val="FootnoteTextChar"/>
    <w:semiHidden/>
    <w:rsid w:val="005864F7"/>
  </w:style>
  <w:style w:type="character" w:styleId="FootnoteReference">
    <w:name w:val="footnote reference"/>
    <w:semiHidden/>
    <w:rsid w:val="005864F7"/>
    <w:rPr>
      <w:vertAlign w:val="superscript"/>
    </w:rPr>
  </w:style>
  <w:style w:type="paragraph" w:styleId="CommentText">
    <w:name w:val="annotation text"/>
    <w:basedOn w:val="Normal"/>
    <w:link w:val="CommentTextChar"/>
    <w:semiHidden/>
    <w:rsid w:val="005864F7"/>
    <w:rPr>
      <w:lang w:eastAsia="en-GB"/>
    </w:rPr>
  </w:style>
  <w:style w:type="character" w:customStyle="1" w:styleId="CommentTextChar">
    <w:name w:val="Comment Text Char"/>
    <w:link w:val="CommentText"/>
    <w:semiHidden/>
    <w:rsid w:val="005864F7"/>
    <w:rPr>
      <w:rFonts w:ascii="Arial" w:hAnsi="Arial" w:cs="Arial"/>
      <w:sz w:val="24"/>
      <w:lang w:val="en-GB" w:eastAsia="en-GB" w:bidi="ar-SA"/>
    </w:rPr>
  </w:style>
  <w:style w:type="character" w:customStyle="1" w:styleId="FootnoteTextChar">
    <w:name w:val="Footnote Text Char"/>
    <w:link w:val="FootnoteText"/>
    <w:semiHidden/>
    <w:rsid w:val="005864F7"/>
    <w:rPr>
      <w:rFonts w:ascii="Arial" w:hAnsi="Arial" w:cs="Arial"/>
      <w:sz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5864F7"/>
    <w:pPr>
      <w:ind w:left="720"/>
    </w:pPr>
    <w:rPr>
      <w:rFonts w:ascii="Times New Roman" w:hAnsi="Times New Roman" w:cs="Times New Roman"/>
      <w:szCs w:val="24"/>
      <w:lang w:eastAsia="en-GB"/>
    </w:rPr>
  </w:style>
  <w:style w:type="character" w:customStyle="1" w:styleId="Heading1Char">
    <w:name w:val="Heading 1 Char"/>
    <w:link w:val="Heading1"/>
    <w:uiPriority w:val="9"/>
    <w:rsid w:val="003F40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F40A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F40A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CommentReference">
    <w:name w:val="annotation reference"/>
    <w:uiPriority w:val="99"/>
    <w:semiHidden/>
    <w:unhideWhenUsed/>
    <w:rsid w:val="003F40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AC"/>
    <w:rPr>
      <w:b/>
      <w:bCs/>
      <w:sz w:val="20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F40AC"/>
    <w:rPr>
      <w:rFonts w:ascii="Arial" w:hAnsi="Arial" w:cs="Arial"/>
      <w:b/>
      <w:bCs/>
      <w:sz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40AC"/>
    <w:rPr>
      <w:rFonts w:ascii="Tahoma" w:hAnsi="Tahoma" w:cs="Tahoma"/>
      <w:sz w:val="16"/>
      <w:szCs w:val="16"/>
      <w:lang w:eastAsia="en-US"/>
    </w:rPr>
  </w:style>
  <w:style w:type="character" w:customStyle="1" w:styleId="Heading5Char">
    <w:name w:val="Heading 5 Char"/>
    <w:link w:val="Heading5"/>
    <w:uiPriority w:val="9"/>
    <w:rsid w:val="00FB627D"/>
    <w:rPr>
      <w:rFonts w:ascii="Arial" w:hAnsi="Arial"/>
      <w:b/>
      <w:iCs/>
      <w:color w:val="00476B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FB627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23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BA35CB"/>
    <w:rPr>
      <w:color w:val="954F72"/>
      <w:u w:val="single"/>
    </w:rPr>
  </w:style>
  <w:style w:type="paragraph" w:customStyle="1" w:styleId="Copyrighttext">
    <w:name w:val="Copyright text"/>
    <w:basedOn w:val="Normal"/>
    <w:rsid w:val="00DB24D5"/>
    <w:pPr>
      <w:pageBreakBefore/>
      <w:tabs>
        <w:tab w:val="num" w:pos="0"/>
      </w:tabs>
    </w:pPr>
    <w:rPr>
      <w:rFonts w:eastAsiaTheme="minorHAnsi"/>
      <w:color w:val="000000" w:themeColor="text1"/>
      <w:sz w:val="20"/>
    </w:rPr>
  </w:style>
  <w:style w:type="numbering" w:customStyle="1" w:styleId="ORRNormalLists">
    <w:name w:val="ORRNormalLists"/>
    <w:uiPriority w:val="99"/>
    <w:rsid w:val="00DB24D5"/>
    <w:pPr>
      <w:numPr>
        <w:numId w:val="9"/>
      </w:numPr>
    </w:pPr>
  </w:style>
  <w:style w:type="paragraph" w:customStyle="1" w:styleId="Default">
    <w:name w:val="Default"/>
    <w:rsid w:val="00984F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xedheading">
    <w:name w:val="Boxed heading"/>
    <w:basedOn w:val="Heading3"/>
    <w:next w:val="Normal"/>
    <w:rsid w:val="00984F8A"/>
    <w:pPr>
      <w:keepLines w:val="0"/>
      <w:pBdr>
        <w:top w:val="single" w:sz="2" w:space="15" w:color="F3F3F6"/>
        <w:left w:val="single" w:sz="2" w:space="0" w:color="F3F3F6"/>
        <w:bottom w:val="single" w:sz="2" w:space="15" w:color="F3F3F6"/>
        <w:right w:val="single" w:sz="2" w:space="15" w:color="F3F3F6"/>
      </w:pBdr>
      <w:shd w:val="clear" w:color="auto" w:fill="F3F3F6"/>
      <w:spacing w:before="0"/>
      <w:ind w:left="57"/>
    </w:pPr>
    <w:rPr>
      <w:rFonts w:ascii="Arial" w:hAnsi="Arial"/>
      <w:b/>
      <w:bCs/>
      <w:color w:val="73147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F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18@orr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910C4-12B7-4B3A-8643-384EDC23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Improving Assisted Travel – A consultation on changes to guidance for train and station operators on Disabled People's Protection Policy (DPPP) - Pro-forma for responses</vt:lpstr>
    </vt:vector>
  </TitlesOfParts>
  <Company>Office of Rail and Road</Company>
  <LinksUpToDate>false</LinksUpToDate>
  <CharactersWithSpaces>2789</CharactersWithSpaces>
  <SharedDoc>false</SharedDoc>
  <HLinks>
    <vt:vector size="150" baseType="variant">
      <vt:variant>
        <vt:i4>131091</vt:i4>
      </vt:variant>
      <vt:variant>
        <vt:i4>72</vt:i4>
      </vt:variant>
      <vt:variant>
        <vt:i4>0</vt:i4>
      </vt:variant>
      <vt:variant>
        <vt:i4>5</vt:i4>
      </vt:variant>
      <vt:variant>
        <vt:lpwstr>http://orr.gov.uk/rail/economic-regulation/regulation-of-network-rail/price-controls/periodic-review-2018/pr18-consultations/pr18-draft-determination</vt:lpwstr>
      </vt:variant>
      <vt:variant>
        <vt:lpwstr/>
      </vt:variant>
      <vt:variant>
        <vt:i4>1769591</vt:i4>
      </vt:variant>
      <vt:variant>
        <vt:i4>69</vt:i4>
      </vt:variant>
      <vt:variant>
        <vt:i4>0</vt:i4>
      </vt:variant>
      <vt:variant>
        <vt:i4>5</vt:i4>
      </vt:variant>
      <vt:variant>
        <vt:lpwstr>http://orr.gov.uk/__data/assets/pdf_file/0006/27798/pr18-draft-determination-system-operator-draft-settlement.pdf</vt:lpwstr>
      </vt:variant>
      <vt:variant>
        <vt:lpwstr/>
      </vt:variant>
      <vt:variant>
        <vt:i4>4915318</vt:i4>
      </vt:variant>
      <vt:variant>
        <vt:i4>66</vt:i4>
      </vt:variant>
      <vt:variant>
        <vt:i4>0</vt:i4>
      </vt:variant>
      <vt:variant>
        <vt:i4>5</vt:i4>
      </vt:variant>
      <vt:variant>
        <vt:lpwstr>http://orr.gov.uk/__data/assets/pdf_file/0009/27792/pr18-draft-determination-freight-and-national-passenger-operator-draft-settlement.pdf</vt:lpwstr>
      </vt:variant>
      <vt:variant>
        <vt:lpwstr/>
      </vt:variant>
      <vt:variant>
        <vt:i4>3080202</vt:i4>
      </vt:variant>
      <vt:variant>
        <vt:i4>63</vt:i4>
      </vt:variant>
      <vt:variant>
        <vt:i4>0</vt:i4>
      </vt:variant>
      <vt:variant>
        <vt:i4>5</vt:i4>
      </vt:variant>
      <vt:variant>
        <vt:lpwstr>http://orr.gov.uk/__data/assets/pdf_file/0007/27790/pr18-draft-determination-executive-summary-scotland.pdf</vt:lpwstr>
      </vt:variant>
      <vt:variant>
        <vt:lpwstr/>
      </vt:variant>
      <vt:variant>
        <vt:i4>3080281</vt:i4>
      </vt:variant>
      <vt:variant>
        <vt:i4>60</vt:i4>
      </vt:variant>
      <vt:variant>
        <vt:i4>0</vt:i4>
      </vt:variant>
      <vt:variant>
        <vt:i4>5</vt:i4>
      </vt:variant>
      <vt:variant>
        <vt:lpwstr>http://orr.gov.uk/__data/assets/pdf_file/0010/27793/pr18-draft-determination-infrastructure-cost-charges-consultation-june-2018.pdf</vt:lpwstr>
      </vt:variant>
      <vt:variant>
        <vt:lpwstr/>
      </vt:variant>
      <vt:variant>
        <vt:i4>327779</vt:i4>
      </vt:variant>
      <vt:variant>
        <vt:i4>57</vt:i4>
      </vt:variant>
      <vt:variant>
        <vt:i4>0</vt:i4>
      </vt:variant>
      <vt:variant>
        <vt:i4>5</vt:i4>
      </vt:variant>
      <vt:variant>
        <vt:lpwstr>http://orr.gov.uk/__data/assets/pdf_file/0007/27799/pr18-draft-determination-variable-usage-charge-consultation-june-2018.pdf</vt:lpwstr>
      </vt:variant>
      <vt:variant>
        <vt:lpwstr/>
      </vt:variant>
      <vt:variant>
        <vt:i4>3407882</vt:i4>
      </vt:variant>
      <vt:variant>
        <vt:i4>54</vt:i4>
      </vt:variant>
      <vt:variant>
        <vt:i4>0</vt:i4>
      </vt:variant>
      <vt:variant>
        <vt:i4>5</vt:i4>
      </vt:variant>
      <vt:variant>
        <vt:lpwstr>http://orr.gov.uk/__data/assets/pdf_file/0005/27788/pr18-draft-determination-charges-and-incentives.pdf</vt:lpwstr>
      </vt:variant>
      <vt:variant>
        <vt:lpwstr/>
      </vt:variant>
      <vt:variant>
        <vt:i4>6553680</vt:i4>
      </vt:variant>
      <vt:variant>
        <vt:i4>51</vt:i4>
      </vt:variant>
      <vt:variant>
        <vt:i4>0</vt:i4>
      </vt:variant>
      <vt:variant>
        <vt:i4>5</vt:i4>
      </vt:variant>
      <vt:variant>
        <vt:lpwstr>http://orr.gov.uk/__data/assets/pdf_file/0010/27757/pr18-draft-determination-overview-june-2018.pdf</vt:lpwstr>
      </vt:variant>
      <vt:variant>
        <vt:lpwstr/>
      </vt:variant>
      <vt:variant>
        <vt:i4>1507426</vt:i4>
      </vt:variant>
      <vt:variant>
        <vt:i4>48</vt:i4>
      </vt:variant>
      <vt:variant>
        <vt:i4>0</vt:i4>
      </vt:variant>
      <vt:variant>
        <vt:i4>5</vt:i4>
      </vt:variant>
      <vt:variant>
        <vt:lpwstr>http://orr.gov.uk/__data/assets/pdf_file/0008/27791/pr18-draft-determination-financial-framework.pdf</vt:lpwstr>
      </vt:variant>
      <vt:variant>
        <vt:lpwstr/>
      </vt:variant>
      <vt:variant>
        <vt:i4>6553680</vt:i4>
      </vt:variant>
      <vt:variant>
        <vt:i4>45</vt:i4>
      </vt:variant>
      <vt:variant>
        <vt:i4>0</vt:i4>
      </vt:variant>
      <vt:variant>
        <vt:i4>5</vt:i4>
      </vt:variant>
      <vt:variant>
        <vt:lpwstr>http://orr.gov.uk/__data/assets/pdf_file/0010/27757/pr18-draft-determination-overview-june-2018.pdf</vt:lpwstr>
      </vt:variant>
      <vt:variant>
        <vt:lpwstr/>
      </vt:variant>
      <vt:variant>
        <vt:i4>524387</vt:i4>
      </vt:variant>
      <vt:variant>
        <vt:i4>42</vt:i4>
      </vt:variant>
      <vt:variant>
        <vt:i4>0</vt:i4>
      </vt:variant>
      <vt:variant>
        <vt:i4>5</vt:i4>
      </vt:variant>
      <vt:variant>
        <vt:lpwstr>http://orr.gov.uk/__data/assets/pdf_file/0011/27857/pr18-draft-determination-other-single-till-income.pdf</vt:lpwstr>
      </vt:variant>
      <vt:variant>
        <vt:lpwstr/>
      </vt:variant>
      <vt:variant>
        <vt:i4>3801166</vt:i4>
      </vt:variant>
      <vt:variant>
        <vt:i4>39</vt:i4>
      </vt:variant>
      <vt:variant>
        <vt:i4>0</vt:i4>
      </vt:variant>
      <vt:variant>
        <vt:i4>5</vt:i4>
      </vt:variant>
      <vt:variant>
        <vt:lpwstr>http://orr.gov.uk/__data/assets/pdf_file/0005/27725/pr18-draft-determination-review-of-network-rails-proposed-costs.pdf</vt:lpwstr>
      </vt:variant>
      <vt:variant>
        <vt:lpwstr/>
      </vt:variant>
      <vt:variant>
        <vt:i4>6553680</vt:i4>
      </vt:variant>
      <vt:variant>
        <vt:i4>36</vt:i4>
      </vt:variant>
      <vt:variant>
        <vt:i4>0</vt:i4>
      </vt:variant>
      <vt:variant>
        <vt:i4>5</vt:i4>
      </vt:variant>
      <vt:variant>
        <vt:lpwstr>http://orr.gov.uk/__data/assets/pdf_file/0010/27757/pr18-draft-determination-overview-june-2018.pdf</vt:lpwstr>
      </vt:variant>
      <vt:variant>
        <vt:lpwstr/>
      </vt:variant>
      <vt:variant>
        <vt:i4>5636205</vt:i4>
      </vt:variant>
      <vt:variant>
        <vt:i4>33</vt:i4>
      </vt:variant>
      <vt:variant>
        <vt:i4>0</vt:i4>
      </vt:variant>
      <vt:variant>
        <vt:i4>5</vt:i4>
      </vt:variant>
      <vt:variant>
        <vt:lpwstr>http://orr.gov.uk/__data/assets/pdf_file/0006/27726/pr18-draft-determination-health-and-safety-june-2018.pdf</vt:lpwstr>
      </vt:variant>
      <vt:variant>
        <vt:lpwstr/>
      </vt:variant>
      <vt:variant>
        <vt:i4>6553680</vt:i4>
      </vt:variant>
      <vt:variant>
        <vt:i4>30</vt:i4>
      </vt:variant>
      <vt:variant>
        <vt:i4>0</vt:i4>
      </vt:variant>
      <vt:variant>
        <vt:i4>5</vt:i4>
      </vt:variant>
      <vt:variant>
        <vt:lpwstr>http://orr.gov.uk/__data/assets/pdf_file/0010/27757/pr18-draft-determination-overview-june-2018.pdf</vt:lpwstr>
      </vt:variant>
      <vt:variant>
        <vt:lpwstr/>
      </vt:variant>
      <vt:variant>
        <vt:i4>3670016</vt:i4>
      </vt:variant>
      <vt:variant>
        <vt:i4>27</vt:i4>
      </vt:variant>
      <vt:variant>
        <vt:i4>0</vt:i4>
      </vt:variant>
      <vt:variant>
        <vt:i4>5</vt:i4>
      </vt:variant>
      <vt:variant>
        <vt:lpwstr>http://orr.gov.uk/__data/assets/pdf_file/0004/27724/pr18-draft-determination-scorecards-and-requirements-june-2018.pdf</vt:lpwstr>
      </vt:variant>
      <vt:variant>
        <vt:lpwstr/>
      </vt:variant>
      <vt:variant>
        <vt:i4>6553680</vt:i4>
      </vt:variant>
      <vt:variant>
        <vt:i4>24</vt:i4>
      </vt:variant>
      <vt:variant>
        <vt:i4>0</vt:i4>
      </vt:variant>
      <vt:variant>
        <vt:i4>5</vt:i4>
      </vt:variant>
      <vt:variant>
        <vt:lpwstr>http://orr.gov.uk/__data/assets/pdf_file/0010/27757/pr18-draft-determination-overview-june-2018.pdf</vt:lpwstr>
      </vt:variant>
      <vt:variant>
        <vt:lpwstr/>
      </vt:variant>
      <vt:variant>
        <vt:i4>3014722</vt:i4>
      </vt:variant>
      <vt:variant>
        <vt:i4>21</vt:i4>
      </vt:variant>
      <vt:variant>
        <vt:i4>0</vt:i4>
      </vt:variant>
      <vt:variant>
        <vt:i4>5</vt:i4>
      </vt:variant>
      <vt:variant>
        <vt:lpwstr>http://orr.gov.uk/__data/assets/pdf_file/0018/27801/pr18-draft-determination-stakeholder-engagement.pdf</vt:lpwstr>
      </vt:variant>
      <vt:variant>
        <vt:lpwstr/>
      </vt:variant>
      <vt:variant>
        <vt:i4>6553680</vt:i4>
      </vt:variant>
      <vt:variant>
        <vt:i4>18</vt:i4>
      </vt:variant>
      <vt:variant>
        <vt:i4>0</vt:i4>
      </vt:variant>
      <vt:variant>
        <vt:i4>5</vt:i4>
      </vt:variant>
      <vt:variant>
        <vt:lpwstr>http://orr.gov.uk/__data/assets/pdf_file/0010/27757/pr18-draft-determination-overview-june-2018.pdf</vt:lpwstr>
      </vt:variant>
      <vt:variant>
        <vt:lpwstr/>
      </vt:variant>
      <vt:variant>
        <vt:i4>917626</vt:i4>
      </vt:variant>
      <vt:variant>
        <vt:i4>15</vt:i4>
      </vt:variant>
      <vt:variant>
        <vt:i4>0</vt:i4>
      </vt:variant>
      <vt:variant>
        <vt:i4>5</vt:i4>
      </vt:variant>
      <vt:variant>
        <vt:lpwstr>http://orr.gov.uk/__data/assets/pdf_file/0010/27856/pr18-draft-determination-network-rail-licence-review.pdf</vt:lpwstr>
      </vt:variant>
      <vt:variant>
        <vt:lpwstr/>
      </vt:variant>
      <vt:variant>
        <vt:i4>6553680</vt:i4>
      </vt:variant>
      <vt:variant>
        <vt:i4>12</vt:i4>
      </vt:variant>
      <vt:variant>
        <vt:i4>0</vt:i4>
      </vt:variant>
      <vt:variant>
        <vt:i4>5</vt:i4>
      </vt:variant>
      <vt:variant>
        <vt:lpwstr>http://orr.gov.uk/__data/assets/pdf_file/0010/27757/pr18-draft-determination-overview-june-2018.pdf</vt:lpwstr>
      </vt:variant>
      <vt:variant>
        <vt:lpwstr/>
      </vt:variant>
      <vt:variant>
        <vt:i4>6553680</vt:i4>
      </vt:variant>
      <vt:variant>
        <vt:i4>9</vt:i4>
      </vt:variant>
      <vt:variant>
        <vt:i4>0</vt:i4>
      </vt:variant>
      <vt:variant>
        <vt:i4>5</vt:i4>
      </vt:variant>
      <vt:variant>
        <vt:lpwstr>http://orr.gov.uk/__data/assets/pdf_file/0010/27757/pr18-draft-determination-overview-june-2018.pdf</vt:lpwstr>
      </vt:variant>
      <vt:variant>
        <vt:lpwstr/>
      </vt:variant>
      <vt:variant>
        <vt:i4>6553680</vt:i4>
      </vt:variant>
      <vt:variant>
        <vt:i4>6</vt:i4>
      </vt:variant>
      <vt:variant>
        <vt:i4>0</vt:i4>
      </vt:variant>
      <vt:variant>
        <vt:i4>5</vt:i4>
      </vt:variant>
      <vt:variant>
        <vt:lpwstr>http://orr.gov.uk/__data/assets/pdf_file/0010/27757/pr18-draft-determination-overview-june-2018.pdf</vt:lpwstr>
      </vt:variant>
      <vt:variant>
        <vt:lpwstr/>
      </vt:variant>
      <vt:variant>
        <vt:i4>4718711</vt:i4>
      </vt:variant>
      <vt:variant>
        <vt:i4>3</vt:i4>
      </vt:variant>
      <vt:variant>
        <vt:i4>0</vt:i4>
      </vt:variant>
      <vt:variant>
        <vt:i4>5</vt:i4>
      </vt:variant>
      <vt:variant>
        <vt:lpwstr>mailto:PR18@orr.gsi.gov.uk</vt:lpwstr>
      </vt:variant>
      <vt:variant>
        <vt:lpwstr/>
      </vt:variant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http://orr.gov.uk/rail/economic-regulation/regulation-of-network-rail/price-controls/periodic-review-2018/pr18-consultations/pr18-draft-determination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Assisted Travel – A consultation on changes to guidance for train and station operators on Disabled People's Protection Policy (DPPP) - Pro-forma for responses</dc:title>
  <dc:subject/>
  <dc:creator>Office of Rail and Road</dc:creator>
  <cp:keywords/>
  <cp:lastModifiedBy>Angeriz-Santos, Paula</cp:lastModifiedBy>
  <cp:revision>3</cp:revision>
  <cp:lastPrinted>2018-11-06T10:58:00Z</cp:lastPrinted>
  <dcterms:created xsi:type="dcterms:W3CDTF">2018-11-23T10:05:00Z</dcterms:created>
  <dcterms:modified xsi:type="dcterms:W3CDTF">2021-06-28T14:30:00Z</dcterms:modified>
</cp:coreProperties>
</file>