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5C5B" w14:textId="77777777" w:rsidR="0047686C" w:rsidRDefault="0047686C">
      <w:pPr>
        <w:pStyle w:val="ORRDocumentTitle"/>
      </w:pPr>
    </w:p>
    <w:p w14:paraId="14DCF377" w14:textId="77777777" w:rsidR="0047686C" w:rsidRDefault="0047686C">
      <w:pPr>
        <w:pStyle w:val="ORRDocumentTitle"/>
      </w:pPr>
    </w:p>
    <w:p w14:paraId="7B74DEFD" w14:textId="77777777" w:rsidR="0047686C" w:rsidRDefault="0047686C">
      <w:pPr>
        <w:pStyle w:val="ORRDocumentTitle"/>
      </w:pPr>
    </w:p>
    <w:p w14:paraId="4D9B8A0B" w14:textId="77777777" w:rsidR="0047686C" w:rsidRDefault="0047686C">
      <w:pPr>
        <w:pStyle w:val="ORRDocumentTitle"/>
      </w:pPr>
    </w:p>
    <w:p w14:paraId="630BA4D5" w14:textId="77777777" w:rsidR="0047686C" w:rsidRDefault="007814A1">
      <w:pPr>
        <w:pStyle w:val="ORRDocumentTitle"/>
      </w:pPr>
      <w:r>
        <w:t xml:space="preserve">Railway Undertaking </w:t>
      </w:r>
      <w:r w:rsidR="0047686C">
        <w:t xml:space="preserve">Passenger Licence </w:t>
      </w:r>
    </w:p>
    <w:p w14:paraId="50BF5B3E" w14:textId="77777777" w:rsidR="0047686C" w:rsidRDefault="0047686C">
      <w:pPr>
        <w:pStyle w:val="ORRDocumentTitle"/>
        <w:rPr>
          <w:sz w:val="24"/>
        </w:rPr>
      </w:pPr>
      <w:r>
        <w:rPr>
          <w:sz w:val="24"/>
        </w:rPr>
        <w:t>granted to</w:t>
      </w:r>
    </w:p>
    <w:p w14:paraId="581C2786" w14:textId="77777777" w:rsidR="0047686C" w:rsidRDefault="0047686C">
      <w:pPr>
        <w:pStyle w:val="ORRDocumentTitle"/>
      </w:pPr>
      <w:r>
        <w:t>[</w:t>
      </w:r>
      <w:r>
        <w:tab/>
      </w:r>
      <w:r>
        <w:tab/>
      </w:r>
      <w:r>
        <w:tab/>
        <w:t>]</w:t>
      </w:r>
    </w:p>
    <w:p w14:paraId="4B251CE4" w14:textId="77777777" w:rsidR="0047686C" w:rsidRDefault="0047686C">
      <w:pPr>
        <w:pStyle w:val="ORRDocumentTitle"/>
      </w:pPr>
    </w:p>
    <w:p w14:paraId="69D22F2B" w14:textId="77777777" w:rsidR="0047686C" w:rsidRDefault="0047686C">
      <w:pPr>
        <w:pStyle w:val="ORRDocumentTitle"/>
      </w:pPr>
    </w:p>
    <w:p w14:paraId="3F686461" w14:textId="77777777" w:rsidR="0047686C" w:rsidRDefault="0047686C">
      <w:pPr>
        <w:pStyle w:val="ORRDocumentTitle"/>
      </w:pPr>
    </w:p>
    <w:p w14:paraId="22DFBC53" w14:textId="77777777" w:rsidR="0047686C" w:rsidRDefault="0047686C">
      <w:pPr>
        <w:pStyle w:val="ORRDocumentTitle"/>
      </w:pPr>
    </w:p>
    <w:p w14:paraId="7C4882E2" w14:textId="77777777" w:rsidR="0047686C" w:rsidRDefault="0047686C">
      <w:pPr>
        <w:pStyle w:val="ORRDocumentTitle"/>
      </w:pPr>
    </w:p>
    <w:p w14:paraId="04D203ED" w14:textId="77777777" w:rsidR="0047686C" w:rsidRDefault="0047686C">
      <w:pPr>
        <w:pStyle w:val="ORRDocumentTitle"/>
      </w:pPr>
    </w:p>
    <w:p w14:paraId="07ED5D43" w14:textId="77777777" w:rsidR="0047686C" w:rsidRDefault="0047686C">
      <w:pPr>
        <w:pStyle w:val="ORRDocumentTitle"/>
      </w:pPr>
    </w:p>
    <w:p w14:paraId="381F95BA" w14:textId="77777777" w:rsidR="0047686C" w:rsidRDefault="0047686C">
      <w:pPr>
        <w:pStyle w:val="ORRDocumentTitle"/>
      </w:pPr>
    </w:p>
    <w:p w14:paraId="2EBFD7DD" w14:textId="77777777" w:rsidR="0047686C" w:rsidRDefault="0047686C">
      <w:pPr>
        <w:pStyle w:val="ORRDocumentTitle"/>
      </w:pPr>
    </w:p>
    <w:p w14:paraId="10C90437" w14:textId="77777777" w:rsidR="0047686C" w:rsidRDefault="0047686C">
      <w:pPr>
        <w:pStyle w:val="ORRDocumentTitle"/>
      </w:pPr>
    </w:p>
    <w:p w14:paraId="0AB37E09" w14:textId="77777777" w:rsidR="0047686C" w:rsidRDefault="0047686C">
      <w:pPr>
        <w:pStyle w:val="ORRDocumentTitle"/>
      </w:pPr>
    </w:p>
    <w:p w14:paraId="22F6E0C2" w14:textId="77777777" w:rsidR="0047686C" w:rsidRDefault="0047686C">
      <w:pPr>
        <w:pStyle w:val="ORRDocumentTitle"/>
      </w:pPr>
    </w:p>
    <w:p w14:paraId="741942DF" w14:textId="77777777" w:rsidR="0047686C" w:rsidRPr="00B802D6" w:rsidRDefault="0047686C">
      <w:pPr>
        <w:pStyle w:val="ORRDocumentTitle"/>
        <w:jc w:val="left"/>
        <w:rPr>
          <w:sz w:val="24"/>
          <w:szCs w:val="24"/>
        </w:rPr>
      </w:pPr>
      <w:r w:rsidRPr="00B802D6">
        <w:rPr>
          <w:sz w:val="24"/>
          <w:szCs w:val="24"/>
        </w:rPr>
        <w:t>Reference Number:</w:t>
      </w:r>
      <w:r w:rsidR="00B802D6" w:rsidRPr="00B802D6">
        <w:rPr>
          <w:sz w:val="24"/>
          <w:szCs w:val="24"/>
        </w:rPr>
        <w:t xml:space="preserve"> </w:t>
      </w:r>
      <w:smartTag w:uri="urn:schemas-microsoft-com:office:smarttags" w:element="country-region">
        <w:smartTag w:uri="urn:schemas-microsoft-com:office:smarttags" w:element="place">
          <w:r w:rsidR="00B802D6" w:rsidRPr="00B802D6">
            <w:rPr>
              <w:sz w:val="24"/>
              <w:szCs w:val="24"/>
            </w:rPr>
            <w:t>UK</w:t>
          </w:r>
        </w:smartTag>
      </w:smartTag>
      <w:r w:rsidR="00B802D6" w:rsidRPr="00B802D6">
        <w:rPr>
          <w:sz w:val="24"/>
          <w:szCs w:val="24"/>
        </w:rPr>
        <w:t xml:space="preserve"> 0</w:t>
      </w:r>
      <w:r w:rsidR="00B802D6">
        <w:rPr>
          <w:sz w:val="24"/>
          <w:szCs w:val="24"/>
        </w:rPr>
        <w:t>1</w:t>
      </w:r>
      <w:r w:rsidR="00B802D6" w:rsidRPr="00B802D6">
        <w:rPr>
          <w:sz w:val="24"/>
          <w:szCs w:val="24"/>
        </w:rPr>
        <w:t xml:space="preserve"> [YEAR] [XXXX]</w:t>
      </w:r>
      <w:r w:rsidR="00B802D6">
        <w:rPr>
          <w:sz w:val="24"/>
          <w:szCs w:val="24"/>
        </w:rPr>
        <w:t xml:space="preserve">  </w:t>
      </w:r>
    </w:p>
    <w:p w14:paraId="08276165" w14:textId="77777777" w:rsidR="0047686C" w:rsidRDefault="0047686C">
      <w:pPr>
        <w:pStyle w:val="ORRDocumentTitle"/>
        <w:sectPr w:rsidR="0047686C">
          <w:endnotePr>
            <w:numFmt w:val="lowerLetter"/>
          </w:endnotePr>
          <w:pgSz w:w="11907" w:h="16840" w:code="9"/>
          <w:pgMar w:top="1987" w:right="1411" w:bottom="1411" w:left="1411" w:header="706" w:footer="706" w:gutter="0"/>
          <w:cols w:space="720"/>
        </w:sectPr>
      </w:pPr>
    </w:p>
    <w:p w14:paraId="69D0273F" w14:textId="77777777" w:rsidR="0047686C" w:rsidRDefault="0047686C">
      <w:pPr>
        <w:pStyle w:val="Contentsheader"/>
      </w:pPr>
      <w:bookmarkStart w:id="0" w:name="_Toc85426985"/>
      <w:bookmarkStart w:id="1" w:name="_Toc85432745"/>
      <w:bookmarkStart w:id="2" w:name="_Toc85434511"/>
      <w:bookmarkStart w:id="3" w:name="_Toc85435049"/>
      <w:r>
        <w:lastRenderedPageBreak/>
        <w:t>Table of contents</w:t>
      </w:r>
      <w:bookmarkEnd w:id="0"/>
      <w:bookmarkEnd w:id="1"/>
      <w:bookmarkEnd w:id="2"/>
      <w:bookmarkEnd w:id="3"/>
    </w:p>
    <w:p w14:paraId="717E87A2" w14:textId="77777777" w:rsidR="0047686C" w:rsidRDefault="0047686C">
      <w:pPr>
        <w:jc w:val="right"/>
        <w:rPr>
          <w:b/>
        </w:rPr>
      </w:pPr>
      <w:r>
        <w:rPr>
          <w:b/>
        </w:rPr>
        <w:t>PAGE</w:t>
      </w:r>
    </w:p>
    <w:p w14:paraId="1E263356" w14:textId="77777777" w:rsidR="0047686C" w:rsidRDefault="0047686C">
      <w:pPr>
        <w:pStyle w:val="TOC1"/>
        <w:rPr>
          <w:rFonts w:ascii="Times New Roman" w:hAnsi="Times New Roman"/>
          <w:b w:val="0"/>
          <w:szCs w:val="24"/>
        </w:rPr>
      </w:pPr>
      <w:r>
        <w:rPr>
          <w:b w:val="0"/>
        </w:rPr>
        <w:fldChar w:fldCharType="begin"/>
      </w:r>
      <w:r>
        <w:rPr>
          <w:b w:val="0"/>
        </w:rPr>
        <w:instrText xml:space="preserve"> TOC \o "2-2" \h \z \t "Heading 1,1,ORR Letter Header,1,Chapter header,1,Annex Heading,1,Annex Heading 3,3,Regulators Heading,1,Regulators Heading 3,3" </w:instrText>
      </w:r>
      <w:r>
        <w:rPr>
          <w:b w:val="0"/>
        </w:rPr>
        <w:fldChar w:fldCharType="separate"/>
      </w:r>
      <w:hyperlink w:anchor="_Toc141758876" w:history="1">
        <w:r>
          <w:rPr>
            <w:rStyle w:val="Hyperlink"/>
            <w:szCs w:val="46"/>
          </w:rPr>
          <w:t>Part I - Scope</w:t>
        </w:r>
        <w:r>
          <w:rPr>
            <w:webHidden/>
          </w:rPr>
          <w:tab/>
        </w:r>
        <w:r>
          <w:rPr>
            <w:webHidden/>
          </w:rPr>
          <w:fldChar w:fldCharType="begin"/>
        </w:r>
        <w:r>
          <w:rPr>
            <w:webHidden/>
          </w:rPr>
          <w:instrText xml:space="preserve"> PAGEREF _Toc141758876 \h </w:instrText>
        </w:r>
        <w:r>
          <w:rPr>
            <w:webHidden/>
          </w:rPr>
        </w:r>
        <w:r>
          <w:rPr>
            <w:webHidden/>
          </w:rPr>
          <w:fldChar w:fldCharType="separate"/>
        </w:r>
        <w:r>
          <w:rPr>
            <w:webHidden/>
          </w:rPr>
          <w:t>1</w:t>
        </w:r>
        <w:r>
          <w:rPr>
            <w:webHidden/>
          </w:rPr>
          <w:fldChar w:fldCharType="end"/>
        </w:r>
      </w:hyperlink>
    </w:p>
    <w:p w14:paraId="3A8C29DB" w14:textId="77777777" w:rsidR="0047686C" w:rsidRDefault="001004A0">
      <w:pPr>
        <w:pStyle w:val="TOC1"/>
        <w:rPr>
          <w:rFonts w:ascii="Times New Roman" w:hAnsi="Times New Roman"/>
          <w:b w:val="0"/>
          <w:szCs w:val="24"/>
        </w:rPr>
      </w:pPr>
      <w:hyperlink w:anchor="_Toc141758877" w:history="1">
        <w:r w:rsidR="0047686C">
          <w:rPr>
            <w:rStyle w:val="Hyperlink"/>
            <w:szCs w:val="46"/>
          </w:rPr>
          <w:t>Part II - Interpretation</w:t>
        </w:r>
        <w:r w:rsidR="0047686C">
          <w:rPr>
            <w:webHidden/>
          </w:rPr>
          <w:tab/>
        </w:r>
        <w:r w:rsidR="0047686C">
          <w:rPr>
            <w:webHidden/>
          </w:rPr>
          <w:fldChar w:fldCharType="begin"/>
        </w:r>
        <w:r w:rsidR="0047686C">
          <w:rPr>
            <w:webHidden/>
          </w:rPr>
          <w:instrText xml:space="preserve"> PAGEREF _Toc141758877 \h </w:instrText>
        </w:r>
        <w:r w:rsidR="0047686C">
          <w:rPr>
            <w:webHidden/>
          </w:rPr>
        </w:r>
        <w:r w:rsidR="0047686C">
          <w:rPr>
            <w:webHidden/>
          </w:rPr>
          <w:fldChar w:fldCharType="separate"/>
        </w:r>
        <w:r w:rsidR="0047686C">
          <w:rPr>
            <w:webHidden/>
          </w:rPr>
          <w:t>2</w:t>
        </w:r>
        <w:r w:rsidR="0047686C">
          <w:rPr>
            <w:webHidden/>
          </w:rPr>
          <w:fldChar w:fldCharType="end"/>
        </w:r>
      </w:hyperlink>
    </w:p>
    <w:p w14:paraId="2E2E9891" w14:textId="77777777" w:rsidR="0047686C" w:rsidRDefault="001004A0">
      <w:pPr>
        <w:pStyle w:val="TOC1"/>
        <w:rPr>
          <w:rFonts w:ascii="Times New Roman" w:hAnsi="Times New Roman"/>
          <w:b w:val="0"/>
          <w:szCs w:val="24"/>
        </w:rPr>
      </w:pPr>
      <w:hyperlink w:anchor="_Toc141758878" w:history="1">
        <w:r w:rsidR="0047686C">
          <w:rPr>
            <w:rStyle w:val="Hyperlink"/>
            <w:szCs w:val="46"/>
          </w:rPr>
          <w:t>Part III - Revocation</w:t>
        </w:r>
        <w:r w:rsidR="0047686C">
          <w:rPr>
            <w:webHidden/>
          </w:rPr>
          <w:tab/>
        </w:r>
        <w:r w:rsidR="0047686C">
          <w:rPr>
            <w:webHidden/>
          </w:rPr>
          <w:fldChar w:fldCharType="begin"/>
        </w:r>
        <w:r w:rsidR="0047686C">
          <w:rPr>
            <w:webHidden/>
          </w:rPr>
          <w:instrText xml:space="preserve"> PAGEREF _Toc141758878 \h </w:instrText>
        </w:r>
        <w:r w:rsidR="0047686C">
          <w:rPr>
            <w:webHidden/>
          </w:rPr>
        </w:r>
        <w:r w:rsidR="0047686C">
          <w:rPr>
            <w:webHidden/>
          </w:rPr>
          <w:fldChar w:fldCharType="separate"/>
        </w:r>
        <w:r w:rsidR="0047686C">
          <w:rPr>
            <w:webHidden/>
          </w:rPr>
          <w:t>4</w:t>
        </w:r>
        <w:r w:rsidR="0047686C">
          <w:rPr>
            <w:webHidden/>
          </w:rPr>
          <w:fldChar w:fldCharType="end"/>
        </w:r>
      </w:hyperlink>
    </w:p>
    <w:p w14:paraId="4C9FBCA1" w14:textId="77777777" w:rsidR="0047686C" w:rsidRDefault="0047686C">
      <w:pPr>
        <w:pStyle w:val="Header"/>
        <w:tabs>
          <w:tab w:val="clear" w:pos="4153"/>
          <w:tab w:val="clear" w:pos="8306"/>
        </w:tabs>
        <w:sectPr w:rsidR="0047686C">
          <w:endnotePr>
            <w:numFmt w:val="lowerLetter"/>
          </w:endnotePr>
          <w:pgSz w:w="11907" w:h="16840" w:code="9"/>
          <w:pgMar w:top="1987" w:right="1411" w:bottom="1411" w:left="1411" w:header="706" w:footer="706" w:gutter="0"/>
          <w:cols w:space="720"/>
        </w:sectPr>
      </w:pPr>
      <w:r>
        <w:rPr>
          <w:noProof/>
        </w:rPr>
        <w:fldChar w:fldCharType="end"/>
      </w:r>
    </w:p>
    <w:p w14:paraId="2714510B" w14:textId="77777777" w:rsidR="0047686C" w:rsidRDefault="0047686C">
      <w:pPr>
        <w:pStyle w:val="Chapterheader"/>
      </w:pPr>
      <w:bookmarkStart w:id="4" w:name="_Toc85431605"/>
      <w:bookmarkStart w:id="5" w:name="_Toc85432746"/>
      <w:bookmarkStart w:id="6" w:name="_Toc141758876"/>
      <w:r>
        <w:lastRenderedPageBreak/>
        <w:t>Part I - Scope</w:t>
      </w:r>
      <w:bookmarkEnd w:id="4"/>
      <w:bookmarkEnd w:id="5"/>
      <w:bookmarkEnd w:id="6"/>
    </w:p>
    <w:p w14:paraId="5175E3B1" w14:textId="77777777" w:rsidR="0047686C" w:rsidRDefault="00FC190F">
      <w:pPr>
        <w:pStyle w:val="ListNumber"/>
        <w:numPr>
          <w:ilvl w:val="0"/>
          <w:numId w:val="3"/>
        </w:numPr>
      </w:pPr>
      <w:r>
        <w:t>The Office of Rail and Road</w:t>
      </w:r>
      <w:r w:rsidR="0047686C">
        <w:t xml:space="preserve"> (“ORR”), in exercise of the powers conferred by regulation 6 of the Railway (Licensing of Railway Undertakings) Regulations 2005 </w:t>
      </w:r>
      <w:r w:rsidR="004F1214">
        <w:t xml:space="preserve">(as amended) </w:t>
      </w:r>
      <w:r w:rsidR="0047686C">
        <w:t>(“the Regulations”), hereby grants to [</w:t>
      </w:r>
      <w:r w:rsidR="0047686C">
        <w:rPr>
          <w:i/>
          <w:iCs/>
        </w:rPr>
        <w:t xml:space="preserve">name of </w:t>
      </w:r>
      <w:r w:rsidR="007814A1">
        <w:rPr>
          <w:i/>
          <w:iCs/>
        </w:rPr>
        <w:t>licence holder</w:t>
      </w:r>
      <w:r w:rsidR="0047686C">
        <w:t>], company registration number [</w:t>
      </w:r>
      <w:r w:rsidR="0047686C">
        <w:rPr>
          <w:i/>
          <w:iCs/>
        </w:rPr>
        <w:t>number</w:t>
      </w:r>
      <w:r w:rsidR="0047686C">
        <w:t>], (“the licence holder”) a licence authorising the licence holder:</w:t>
      </w:r>
    </w:p>
    <w:p w14:paraId="32ACEF31" w14:textId="77777777" w:rsidR="0047686C" w:rsidRDefault="0047686C">
      <w:pPr>
        <w:pStyle w:val="ListNumber"/>
        <w:numPr>
          <w:ilvl w:val="1"/>
          <w:numId w:val="3"/>
        </w:numPr>
      </w:pPr>
      <w:r>
        <w:t xml:space="preserve">to be the operator of trains being used on a network for the purpose of carrying passengers by </w:t>
      </w:r>
      <w:proofErr w:type="gramStart"/>
      <w:r>
        <w:t>railway;</w:t>
      </w:r>
      <w:proofErr w:type="gramEnd"/>
    </w:p>
    <w:p w14:paraId="2F61083D" w14:textId="77777777" w:rsidR="0047686C" w:rsidRDefault="0047686C">
      <w:pPr>
        <w:pStyle w:val="ListNumber"/>
        <w:numPr>
          <w:ilvl w:val="1"/>
          <w:numId w:val="3"/>
        </w:numPr>
      </w:pPr>
      <w:r>
        <w:t>to be the operator of trains being used on a network for a purpose preparatory to or incidental to or consequential on using a train as mentioned in (a) above; and</w:t>
      </w:r>
    </w:p>
    <w:p w14:paraId="3885D30B" w14:textId="77777777" w:rsidR="0047686C" w:rsidRDefault="0047686C">
      <w:pPr>
        <w:pStyle w:val="ListNumber"/>
        <w:numPr>
          <w:ilvl w:val="1"/>
          <w:numId w:val="3"/>
        </w:numPr>
      </w:pPr>
      <w:r>
        <w:t>to be the operator of trains being used on a network for the purpose of assisting other operators of railway assets.</w:t>
      </w:r>
    </w:p>
    <w:p w14:paraId="00FE2065" w14:textId="77777777" w:rsidR="0047686C" w:rsidRDefault="0047686C">
      <w:pPr>
        <w:pStyle w:val="ListNumber"/>
        <w:numPr>
          <w:ilvl w:val="0"/>
          <w:numId w:val="3"/>
        </w:numPr>
      </w:pPr>
      <w:r>
        <w:t>This licence shall come into force on [</w:t>
      </w:r>
      <w:r>
        <w:rPr>
          <w:i/>
          <w:iCs/>
        </w:rPr>
        <w:t>date</w:t>
      </w:r>
      <w:r>
        <w:t>] and shall continue in force unless and until revoked or suspended in accordance with the provisions of Part III or the Regulations.</w:t>
      </w:r>
    </w:p>
    <w:p w14:paraId="302D7C8A" w14:textId="77777777" w:rsidR="0047686C" w:rsidRDefault="0047686C"/>
    <w:p w14:paraId="5C0F764D" w14:textId="77777777" w:rsidR="0047686C" w:rsidRDefault="0047686C"/>
    <w:p w14:paraId="583A47D8" w14:textId="77777777" w:rsidR="0047686C" w:rsidRDefault="0047686C">
      <w:pPr>
        <w:tabs>
          <w:tab w:val="left" w:pos="6300"/>
        </w:tabs>
      </w:pPr>
      <w:r>
        <w:rPr>
          <w:iCs/>
        </w:rPr>
        <w:t>[</w:t>
      </w:r>
      <w:r>
        <w:rPr>
          <w:i/>
        </w:rPr>
        <w:t>Date</w:t>
      </w:r>
      <w:r>
        <w:rPr>
          <w:iCs/>
        </w:rPr>
        <w:t>]</w:t>
      </w:r>
      <w:r>
        <w:rPr>
          <w:iCs/>
        </w:rPr>
        <w:tab/>
      </w:r>
      <w:r>
        <w:t xml:space="preserve">Signed by authority </w:t>
      </w:r>
      <w:r w:rsidR="00FC190F">
        <w:t>of the</w:t>
      </w:r>
      <w:r w:rsidR="00FC190F">
        <w:tab/>
        <w:t>Office of Rail and Road</w:t>
      </w:r>
    </w:p>
    <w:p w14:paraId="4EE2FFC9" w14:textId="73607F17" w:rsidR="0047686C" w:rsidRDefault="0047686C">
      <w:pPr>
        <w:tabs>
          <w:tab w:val="left" w:pos="6480"/>
        </w:tabs>
        <w:jc w:val="right"/>
      </w:pPr>
    </w:p>
    <w:p w14:paraId="757BA572" w14:textId="77777777" w:rsidR="0047686C" w:rsidRDefault="0047686C">
      <w:pPr>
        <w:tabs>
          <w:tab w:val="left" w:pos="6480"/>
        </w:tabs>
      </w:pPr>
    </w:p>
    <w:p w14:paraId="2387080B" w14:textId="77777777" w:rsidR="0047686C" w:rsidRDefault="0047686C">
      <w:pPr>
        <w:sectPr w:rsidR="0047686C">
          <w:footerReference w:type="default" r:id="rId7"/>
          <w:footerReference w:type="first" r:id="rId8"/>
          <w:endnotePr>
            <w:numFmt w:val="lowerLetter"/>
          </w:endnotePr>
          <w:pgSz w:w="11907" w:h="16840" w:code="9"/>
          <w:pgMar w:top="1987" w:right="1411" w:bottom="1411" w:left="1411" w:header="706" w:footer="706" w:gutter="0"/>
          <w:pgNumType w:start="1"/>
          <w:cols w:space="720"/>
        </w:sectPr>
      </w:pPr>
    </w:p>
    <w:p w14:paraId="0E4C4AC4" w14:textId="77777777" w:rsidR="0047686C" w:rsidRDefault="0047686C">
      <w:pPr>
        <w:pStyle w:val="Chapterheader"/>
      </w:pPr>
      <w:bookmarkStart w:id="7" w:name="_Toc85431606"/>
      <w:bookmarkStart w:id="8" w:name="_Toc85432747"/>
      <w:bookmarkStart w:id="9" w:name="_Toc105320713"/>
      <w:bookmarkStart w:id="10" w:name="_Toc141758877"/>
      <w:bookmarkStart w:id="11" w:name="_Toc85431626"/>
      <w:bookmarkStart w:id="12" w:name="_Toc85432768"/>
      <w:bookmarkStart w:id="13" w:name="_Toc85431607"/>
      <w:bookmarkStart w:id="14" w:name="_Toc85432748"/>
      <w:r>
        <w:lastRenderedPageBreak/>
        <w:t>Part II - Interpretation</w:t>
      </w:r>
      <w:bookmarkEnd w:id="7"/>
      <w:bookmarkEnd w:id="8"/>
      <w:bookmarkEnd w:id="9"/>
      <w:bookmarkEnd w:id="10"/>
    </w:p>
    <w:p w14:paraId="1FDD0098" w14:textId="77777777" w:rsidR="0047686C" w:rsidRDefault="0047686C">
      <w:pPr>
        <w:pStyle w:val="ListNumber"/>
        <w:numPr>
          <w:ilvl w:val="0"/>
          <w:numId w:val="17"/>
        </w:numPr>
      </w:pPr>
      <w:r>
        <w:t>In this licence:</w:t>
      </w:r>
    </w:p>
    <w:p w14:paraId="7C6C9451" w14:textId="77777777" w:rsidR="0047686C" w:rsidRDefault="0047686C" w:rsidP="0032084E">
      <w:pPr>
        <w:tabs>
          <w:tab w:val="left" w:pos="3686"/>
        </w:tabs>
        <w:ind w:left="2880" w:hanging="2171"/>
      </w:pPr>
      <w:r>
        <w:t>“control”</w:t>
      </w:r>
      <w:r>
        <w:tab/>
        <w:t>(a)</w:t>
      </w:r>
      <w:r>
        <w:tab/>
        <w:t>A person is taken to have control of the licence holder if he exercises, or is able to exercise or is entitled to acquire, direct or indirect control over the licence holder’s affairs, and in particular if he possesses or is entitled to acquire:</w:t>
      </w:r>
    </w:p>
    <w:p w14:paraId="6C82E41B" w14:textId="77777777" w:rsidR="0047686C" w:rsidRDefault="0047686C" w:rsidP="0032084E">
      <w:pPr>
        <w:pStyle w:val="ListNumber4BodyText"/>
        <w:tabs>
          <w:tab w:val="num" w:pos="2160"/>
          <w:tab w:val="left" w:pos="3686"/>
        </w:tabs>
        <w:ind w:left="4253" w:hanging="567"/>
        <w:jc w:val="left"/>
      </w:pPr>
      <w:r>
        <w:t xml:space="preserve">30% or more of any share capital or issued share capital of the licence holder or of the voting power in the licence holder; or </w:t>
      </w:r>
    </w:p>
    <w:p w14:paraId="7475C33C" w14:textId="77777777" w:rsidR="0047686C" w:rsidRDefault="0047686C" w:rsidP="0032084E">
      <w:pPr>
        <w:pStyle w:val="ListNumber4BodyText"/>
        <w:tabs>
          <w:tab w:val="num" w:pos="2160"/>
          <w:tab w:val="left" w:pos="3686"/>
        </w:tabs>
        <w:ind w:left="4253" w:hanging="567"/>
        <w:jc w:val="left"/>
      </w:pPr>
      <w:r>
        <w:t xml:space="preserve">such part of any issued share capital of the licence holder as would, if the whole of the income of the licence holder were in fact distributed among the participators (without regard to any rights which he or any other person has as a loan creditor), entitle him to receive 30% or more of the amount so distributed; or </w:t>
      </w:r>
    </w:p>
    <w:p w14:paraId="64CFD67F" w14:textId="77777777" w:rsidR="0047686C" w:rsidRDefault="0047686C" w:rsidP="0032084E">
      <w:pPr>
        <w:pStyle w:val="ListNumber4BodyText"/>
        <w:tabs>
          <w:tab w:val="num" w:pos="2160"/>
          <w:tab w:val="left" w:pos="3686"/>
        </w:tabs>
        <w:ind w:left="4253" w:hanging="567"/>
        <w:jc w:val="left"/>
      </w:pPr>
      <w:r>
        <w:t xml:space="preserve">such rights as would, in the event of the winding-up of the licence holder or in any other circumstances, entitle him to receive 30% or more of the assets of the licence holder which would then be available for distribution among the participators.   </w:t>
      </w:r>
    </w:p>
    <w:p w14:paraId="1464B02A" w14:textId="77777777" w:rsidR="0047686C" w:rsidRDefault="0047686C" w:rsidP="0032084E">
      <w:pPr>
        <w:tabs>
          <w:tab w:val="left" w:pos="3686"/>
        </w:tabs>
        <w:ind w:left="2880"/>
      </w:pPr>
      <w:r>
        <w:t>(b)</w:t>
      </w:r>
      <w:r>
        <w:tab/>
        <w:t>Subsections (4) to (6) of section 416 of the Income and Corporation Taxes Act 1988, and the legislative provisions referred to in those subsections, apply to the interpretation of paragraph (a) in the same way that they apply to the interpretation of subsection (2) of section 416 of that Act.</w:t>
      </w:r>
    </w:p>
    <w:p w14:paraId="75C6EF8E" w14:textId="77777777" w:rsidR="0047686C" w:rsidRDefault="0047686C">
      <w:pPr>
        <w:ind w:left="2880"/>
      </w:pPr>
    </w:p>
    <w:p w14:paraId="6BE1128B" w14:textId="77777777" w:rsidR="0047686C" w:rsidRDefault="0047686C">
      <w:pPr>
        <w:pStyle w:val="BodyTextIndent"/>
      </w:pPr>
      <w:r>
        <w:t>“licensed activities”</w:t>
      </w:r>
      <w:r>
        <w:tab/>
        <w:t>means things authorised to be done by the licence holder in its capacity as operator of trains pursuant to this licence.</w:t>
      </w:r>
    </w:p>
    <w:p w14:paraId="3491575B" w14:textId="77777777" w:rsidR="0047686C" w:rsidRDefault="0047686C" w:rsidP="00E672C9">
      <w:pPr>
        <w:pStyle w:val="ListNumber"/>
        <w:numPr>
          <w:ilvl w:val="0"/>
          <w:numId w:val="18"/>
        </w:numPr>
        <w:tabs>
          <w:tab w:val="left" w:pos="720"/>
        </w:tabs>
        <w:ind w:left="720" w:hanging="720"/>
      </w:pPr>
      <w:r>
        <w:t>In interpreting this licence, headings shall be disregarded.</w:t>
      </w:r>
    </w:p>
    <w:p w14:paraId="46D11773" w14:textId="77777777" w:rsidR="0047686C" w:rsidRDefault="0047686C" w:rsidP="00E672C9">
      <w:pPr>
        <w:pStyle w:val="ListNumber"/>
        <w:numPr>
          <w:ilvl w:val="0"/>
          <w:numId w:val="18"/>
        </w:numPr>
        <w:tabs>
          <w:tab w:val="left" w:pos="720"/>
        </w:tabs>
        <w:ind w:left="782" w:hanging="782"/>
      </w:pPr>
      <w:r>
        <w:t>The Interpretation Act 1978 shall apply to this licence as if it were an Act.</w:t>
      </w:r>
    </w:p>
    <w:p w14:paraId="5E7D6500" w14:textId="77777777" w:rsidR="0047686C" w:rsidRDefault="0047686C" w:rsidP="00E672C9">
      <w:pPr>
        <w:pStyle w:val="ListNumber"/>
        <w:numPr>
          <w:ilvl w:val="0"/>
          <w:numId w:val="18"/>
        </w:numPr>
        <w:tabs>
          <w:tab w:val="left" w:pos="720"/>
        </w:tabs>
        <w:ind w:left="720" w:hanging="720"/>
      </w:pPr>
      <w:r>
        <w:t>The provisions of section 149 of the Railways Act 1993 (as amended) (“the Act”) shall apply for the purposes of the service of any document pursuant to this licence.</w:t>
      </w:r>
    </w:p>
    <w:p w14:paraId="0B98A31F" w14:textId="77777777" w:rsidR="0047686C" w:rsidRDefault="0047686C" w:rsidP="00E672C9">
      <w:pPr>
        <w:pStyle w:val="ListNumber"/>
        <w:numPr>
          <w:ilvl w:val="0"/>
          <w:numId w:val="18"/>
        </w:numPr>
        <w:tabs>
          <w:tab w:val="left" w:pos="720"/>
        </w:tabs>
        <w:ind w:left="720" w:hanging="720"/>
      </w:pPr>
      <w:r>
        <w:t>Unless the context otherwise requires, terms and expressions defined in the Act, the Railways Act 2005 or the Regulations shall have the same meanings in this licence.</w:t>
      </w:r>
    </w:p>
    <w:p w14:paraId="79B681DF" w14:textId="77777777" w:rsidR="0047686C" w:rsidRDefault="0047686C">
      <w:pPr>
        <w:pStyle w:val="Chapterheader"/>
      </w:pPr>
      <w:r>
        <w:br w:type="page"/>
      </w:r>
      <w:bookmarkStart w:id="15" w:name="_Toc141758878"/>
      <w:r>
        <w:lastRenderedPageBreak/>
        <w:t>Part III - Revocation</w:t>
      </w:r>
      <w:bookmarkEnd w:id="11"/>
      <w:bookmarkEnd w:id="12"/>
      <w:bookmarkEnd w:id="15"/>
    </w:p>
    <w:p w14:paraId="69A14F41" w14:textId="77777777" w:rsidR="0047686C" w:rsidRDefault="0047686C">
      <w:pPr>
        <w:pStyle w:val="ListNumber"/>
        <w:numPr>
          <w:ilvl w:val="0"/>
          <w:numId w:val="2"/>
        </w:numPr>
      </w:pPr>
      <w:r>
        <w:t>ORR may (after having consulted the appropriate franchising authority where the licence holder is a franchise operator) revoke this licence at any time if agreed in writing with the licence holder.</w:t>
      </w:r>
    </w:p>
    <w:p w14:paraId="6C6A6B91" w14:textId="77777777" w:rsidR="0047686C" w:rsidRDefault="0047686C">
      <w:pPr>
        <w:pStyle w:val="ListNumber"/>
        <w:numPr>
          <w:ilvl w:val="0"/>
          <w:numId w:val="16"/>
        </w:numPr>
      </w:pPr>
      <w:r>
        <w:t>ORR may (after having consulted the appropriate franchising authority where the licence holder is a franchise operator), revoke this licence by not less than three months</w:t>
      </w:r>
      <w:r w:rsidR="00476802">
        <w:t>’</w:t>
      </w:r>
      <w:r>
        <w:t xml:space="preserve"> notice to the licence holder:</w:t>
      </w:r>
    </w:p>
    <w:p w14:paraId="49AD9CA6" w14:textId="77777777" w:rsidR="0047686C" w:rsidRDefault="0047686C">
      <w:pPr>
        <w:pStyle w:val="ListNumber"/>
        <w:numPr>
          <w:ilvl w:val="1"/>
          <w:numId w:val="16"/>
        </w:numPr>
      </w:pPr>
      <w:r>
        <w:t xml:space="preserve">if the licence holder has not commenced carrying on licensed activities within six months beginning with the day on which this licence comes into force or if the licence holder ceases to carry on licensed activities for a continuous period of at least six </w:t>
      </w:r>
      <w:proofErr w:type="gramStart"/>
      <w:r>
        <w:t>months;</w:t>
      </w:r>
      <w:proofErr w:type="gramEnd"/>
    </w:p>
    <w:p w14:paraId="245F79A1" w14:textId="77777777" w:rsidR="0047686C" w:rsidRDefault="0047686C">
      <w:pPr>
        <w:pStyle w:val="ListNumber"/>
        <w:numPr>
          <w:ilvl w:val="1"/>
          <w:numId w:val="16"/>
        </w:numPr>
      </w:pPr>
      <w:r>
        <w:t>if the licence holder is convicted of an offence under section 146 of the Act or regulation 15 of the Regulations in making its application for this licence; or</w:t>
      </w:r>
    </w:p>
    <w:p w14:paraId="7DC9C97C" w14:textId="77777777" w:rsidR="0047686C" w:rsidRDefault="00E672C9">
      <w:pPr>
        <w:pStyle w:val="ListNumber"/>
        <w:numPr>
          <w:ilvl w:val="1"/>
          <w:numId w:val="16"/>
        </w:numPr>
      </w:pPr>
      <w:r>
        <w:t>i</w:t>
      </w:r>
      <w:r w:rsidR="0047686C">
        <w:t>f a person obtains control of the licence holder and:</w:t>
      </w:r>
    </w:p>
    <w:p w14:paraId="41439C7F" w14:textId="77777777" w:rsidR="0047686C" w:rsidRDefault="0047686C">
      <w:pPr>
        <w:pStyle w:val="ListNumber"/>
        <w:numPr>
          <w:ilvl w:val="2"/>
          <w:numId w:val="16"/>
        </w:numPr>
      </w:pPr>
      <w:r>
        <w:t xml:space="preserve">ORR has not approved such obtaining of </w:t>
      </w:r>
      <w:proofErr w:type="gramStart"/>
      <w:r>
        <w:t>control;</w:t>
      </w:r>
      <w:proofErr w:type="gramEnd"/>
    </w:p>
    <w:p w14:paraId="59D7971E" w14:textId="77777777" w:rsidR="0047686C" w:rsidRDefault="0047686C">
      <w:pPr>
        <w:pStyle w:val="ListNumber"/>
        <w:numPr>
          <w:ilvl w:val="2"/>
          <w:numId w:val="16"/>
        </w:numPr>
      </w:pPr>
      <w:r>
        <w:t>within one month of that obtaining of control coming to the notice of ORR, ORR serves notice on the licence holder stating that ORR proposes to revoke this licence in pursuance of this paragraph unless the person who has obtained control of the licence holder ceases to have control of the licence holder within the period of three months beginning with the day of service of the notice; and</w:t>
      </w:r>
    </w:p>
    <w:p w14:paraId="3ECD31B7" w14:textId="77777777" w:rsidR="0047686C" w:rsidRDefault="0047686C">
      <w:pPr>
        <w:pStyle w:val="ListNumber"/>
        <w:numPr>
          <w:ilvl w:val="2"/>
          <w:numId w:val="16"/>
        </w:numPr>
      </w:pPr>
      <w:r>
        <w:t>that cessation of control does not take place within that period.</w:t>
      </w:r>
      <w:bookmarkEnd w:id="13"/>
      <w:bookmarkEnd w:id="14"/>
    </w:p>
    <w:sectPr w:rsidR="0047686C">
      <w:headerReference w:type="first" r:id="rId9"/>
      <w:footerReference w:type="first" r:id="rId10"/>
      <w:endnotePr>
        <w:numFmt w:val="lowerLetter"/>
      </w:endnotePr>
      <w:pgSz w:w="11907" w:h="16840" w:code="9"/>
      <w:pgMar w:top="1987" w:right="1411" w:bottom="1411"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6189" w14:textId="77777777" w:rsidR="00DB0E7D" w:rsidRDefault="00DB0E7D">
      <w:pPr>
        <w:pStyle w:val="Footer"/>
        <w:pBdr>
          <w:top w:val="single" w:sz="4" w:space="1" w:color="C0C0C0"/>
        </w:pBdr>
      </w:pPr>
    </w:p>
  </w:endnote>
  <w:endnote w:type="continuationSeparator" w:id="0">
    <w:p w14:paraId="5EA889BF" w14:textId="77777777" w:rsidR="00DB0E7D" w:rsidRDefault="00D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8731" w14:textId="77777777" w:rsidR="00E672C9" w:rsidRDefault="00E67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508">
      <w:rPr>
        <w:rStyle w:val="PageNumber"/>
        <w:noProof/>
      </w:rPr>
      <w:t>3</w:t>
    </w:r>
    <w:r>
      <w:rPr>
        <w:rStyle w:val="PageNumber"/>
      </w:rPr>
      <w:fldChar w:fldCharType="end"/>
    </w:r>
  </w:p>
  <w:p w14:paraId="76CA311A" w14:textId="77777777" w:rsidR="00E672C9" w:rsidRDefault="00E672C9" w:rsidP="004F1214">
    <w:pPr>
      <w:pStyle w:val="Footer"/>
      <w:rPr>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02DA" w14:textId="77777777" w:rsidR="00E672C9" w:rsidRDefault="00E67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3827E2" w14:textId="77777777" w:rsidR="00E672C9" w:rsidRDefault="00E67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6F06" w14:textId="77777777" w:rsidR="00E672C9" w:rsidRDefault="00E6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8A38" w14:textId="77777777" w:rsidR="00DB0E7D" w:rsidRDefault="00DB0E7D">
      <w:pPr>
        <w:pStyle w:val="Footer"/>
        <w:pBdr>
          <w:top w:val="single" w:sz="4" w:space="1" w:color="C0C0C0"/>
        </w:pBdr>
      </w:pPr>
    </w:p>
  </w:footnote>
  <w:footnote w:type="continuationSeparator" w:id="0">
    <w:p w14:paraId="50D5E009" w14:textId="77777777" w:rsidR="00DB0E7D" w:rsidRDefault="00D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DFBA" w14:textId="77777777" w:rsidR="00E672C9" w:rsidRDefault="00E6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BF0"/>
    <w:multiLevelType w:val="multilevel"/>
    <w:tmpl w:val="B9DCE31E"/>
    <w:name w:val="ORR Annex List Template"/>
    <w:lvl w:ilvl="0">
      <w:start w:val="1"/>
      <w:numFmt w:val="none"/>
      <w:pStyle w:val="AnnexHeading"/>
      <w:suff w:val="nothing"/>
      <w:lvlText w:val=""/>
      <w:lvlJc w:val="left"/>
      <w:pPr>
        <w:ind w:left="0" w:firstLine="0"/>
      </w:pPr>
      <w:rPr>
        <w:rFonts w:hint="default"/>
      </w:rPr>
    </w:lvl>
    <w:lvl w:ilvl="1">
      <w:start w:val="1"/>
      <w:numFmt w:val="decimal"/>
      <w:pStyle w:val="AnnexList"/>
      <w:lvlText w:val="%2."/>
      <w:lvlJc w:val="left"/>
      <w:pPr>
        <w:tabs>
          <w:tab w:val="num" w:pos="720"/>
        </w:tabs>
        <w:ind w:left="720" w:hanging="720"/>
      </w:pPr>
      <w:rPr>
        <w:rFonts w:hint="default"/>
      </w:rPr>
    </w:lvl>
    <w:lvl w:ilvl="2">
      <w:start w:val="1"/>
      <w:numFmt w:val="lowerLetter"/>
      <w:pStyle w:val="AnnexSubList"/>
      <w:lvlText w:val="(%3)"/>
      <w:lvlJc w:val="left"/>
      <w:pPr>
        <w:tabs>
          <w:tab w:val="num" w:pos="1429"/>
        </w:tabs>
        <w:ind w:left="1429" w:hanging="709"/>
      </w:pPr>
      <w:rPr>
        <w:rFonts w:hint="default"/>
      </w:rPr>
    </w:lvl>
    <w:lvl w:ilvl="3">
      <w:start w:val="1"/>
      <w:numFmt w:val="lowerRoman"/>
      <w:pStyle w:val="Annex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42B14279"/>
    <w:multiLevelType w:val="multilevel"/>
    <w:tmpl w:val="3BB2780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72C1C34"/>
    <w:multiLevelType w:val="multilevel"/>
    <w:tmpl w:val="65A619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A1C5F8B"/>
    <w:multiLevelType w:val="hybridMultilevel"/>
    <w:tmpl w:val="48D45774"/>
    <w:lvl w:ilvl="0" w:tplc="7C2646F4">
      <w:start w:val="2"/>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B2AEA"/>
    <w:multiLevelType w:val="multilevel"/>
    <w:tmpl w:val="B97EC136"/>
    <w:lvl w:ilvl="0">
      <w:start w:val="1"/>
      <w:numFmt w:val="lowerLetter"/>
      <w:lvlText w:val="(%1)"/>
      <w:lvlJc w:val="left"/>
      <w:pPr>
        <w:tabs>
          <w:tab w:val="num" w:pos="624"/>
        </w:tabs>
        <w:ind w:left="624" w:hanging="624"/>
      </w:pPr>
      <w:rPr>
        <w:rFonts w:ascii="CG Times" w:hAnsi="CG Times" w:hint="default"/>
        <w:b w:val="0"/>
        <w:i w:val="0"/>
        <w:sz w:val="20"/>
      </w:rPr>
    </w:lvl>
    <w:lvl w:ilvl="1">
      <w:start w:val="1"/>
      <w:numFmt w:val="lowerLetter"/>
      <w:lvlText w:val="(%2)"/>
      <w:lvlJc w:val="left"/>
      <w:pPr>
        <w:tabs>
          <w:tab w:val="num" w:pos="1417"/>
        </w:tabs>
        <w:ind w:left="1417" w:hanging="793"/>
      </w:pPr>
      <w:rPr>
        <w:rFonts w:ascii="Times New Roman" w:hAnsi="Times New Roman" w:hint="default"/>
        <w:b w:val="0"/>
        <w:i w:val="0"/>
        <w:sz w:val="24"/>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Letter"/>
      <w:pStyle w:val="Heading5"/>
      <w:lvlText w:val="(%5)"/>
      <w:lvlJc w:val="left"/>
      <w:pPr>
        <w:tabs>
          <w:tab w:val="num" w:pos="2438"/>
        </w:tabs>
        <w:ind w:left="2438" w:hanging="510"/>
      </w:pPr>
      <w:rPr>
        <w:rFonts w:hint="default"/>
        <w:b w:val="0"/>
        <w:i w:val="0"/>
        <w:sz w:val="18"/>
      </w:rPr>
    </w:lvl>
    <w:lvl w:ilvl="5">
      <w:start w:val="1"/>
      <w:numFmt w:val="lowerLetter"/>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5" w15:restartNumberingAfterBreak="0">
    <w:nsid w:val="6A1C7313"/>
    <w:multiLevelType w:val="multilevel"/>
    <w:tmpl w:val="765664A4"/>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33578E4"/>
    <w:multiLevelType w:val="multilevel"/>
    <w:tmpl w:val="05C83028"/>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429"/>
        </w:tabs>
        <w:ind w:left="142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74F80E40"/>
    <w:multiLevelType w:val="multilevel"/>
    <w:tmpl w:val="CEF2A15C"/>
    <w:name w:val="ORR Chpater List Template"/>
    <w:lvl w:ilvl="0">
      <w:start w:val="1"/>
      <w:numFmt w:val="decimal"/>
      <w:lvlText w:val="%1."/>
      <w:lvlJc w:val="left"/>
      <w:pPr>
        <w:tabs>
          <w:tab w:val="num" w:pos="720"/>
        </w:tabs>
        <w:ind w:left="720" w:hanging="72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lowerLetter"/>
      <w:pStyle w:val="ListNumber3"/>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740A4E"/>
    <w:multiLevelType w:val="multilevel"/>
    <w:tmpl w:val="65A619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7"/>
  </w:num>
  <w:num w:numId="7">
    <w:abstractNumId w:val="0"/>
  </w:num>
  <w:num w:numId="8">
    <w:abstractNumId w:val="7"/>
  </w:num>
  <w:num w:numId="9">
    <w:abstractNumId w:val="0"/>
  </w:num>
  <w:num w:numId="10">
    <w:abstractNumId w:val="7"/>
  </w:num>
  <w:num w:numId="11">
    <w:abstractNumId w:val="0"/>
  </w:num>
  <w:num w:numId="12">
    <w:abstractNumId w:val="6"/>
  </w:num>
  <w:num w:numId="13">
    <w:abstractNumId w:val="6"/>
  </w:num>
  <w:num w:numId="14">
    <w:abstractNumId w:val="6"/>
  </w:num>
  <w:num w:numId="15">
    <w:abstractNumId w:val="6"/>
  </w:num>
  <w:num w:numId="16">
    <w:abstractNumId w:val="1"/>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f8f8f8"/>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60747"/>
    <w:docVar w:name="DVEDOCSDOCNUMBER" w:val="Doc # 360747.01"/>
    <w:docVar w:name="DVUSERS_INSERTDOCNO_CHOICE" w:val="Yes"/>
    <w:docVar w:name="STYLE" w:val="10"/>
  </w:docVars>
  <w:rsids>
    <w:rsidRoot w:val="0047686C"/>
    <w:rsid w:val="001004A0"/>
    <w:rsid w:val="002B1E32"/>
    <w:rsid w:val="0032084E"/>
    <w:rsid w:val="003475FC"/>
    <w:rsid w:val="00476802"/>
    <w:rsid w:val="0047686C"/>
    <w:rsid w:val="004F1214"/>
    <w:rsid w:val="004F2B03"/>
    <w:rsid w:val="005574EC"/>
    <w:rsid w:val="006A5B35"/>
    <w:rsid w:val="006F157A"/>
    <w:rsid w:val="007657B5"/>
    <w:rsid w:val="007814A1"/>
    <w:rsid w:val="008954C5"/>
    <w:rsid w:val="008E1F55"/>
    <w:rsid w:val="0091520E"/>
    <w:rsid w:val="00991269"/>
    <w:rsid w:val="00AD2C7F"/>
    <w:rsid w:val="00AD6AEE"/>
    <w:rsid w:val="00B802D6"/>
    <w:rsid w:val="00D00829"/>
    <w:rsid w:val="00D3300F"/>
    <w:rsid w:val="00D74508"/>
    <w:rsid w:val="00DB0E7D"/>
    <w:rsid w:val="00E672C9"/>
    <w:rsid w:val="00FC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colormru v:ext="edit" colors="#f8f8f8"/>
    </o:shapedefaults>
    <o:shapelayout v:ext="edit">
      <o:idmap v:ext="edit" data="1"/>
    </o:shapelayout>
  </w:shapeDefaults>
  <w:decimalSymbol w:val="."/>
  <w:listSeparator w:val=","/>
  <w14:docId w14:val="0C2AA39E"/>
  <w15:chartTrackingRefBased/>
  <w15:docId w15:val="{C6664C90-C9F6-4AE3-A763-DF782907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exact"/>
    </w:pPr>
    <w:rPr>
      <w:rFonts w:ascii="Arial" w:hAnsi="Arial"/>
      <w:sz w:val="24"/>
      <w:lang w:eastAsia="en-US"/>
    </w:rPr>
  </w:style>
  <w:style w:type="paragraph" w:styleId="Heading1">
    <w:name w:val="heading 1"/>
    <w:basedOn w:val="Normal"/>
    <w:next w:val="Heading2"/>
    <w:qFormat/>
    <w:pPr>
      <w:keepNext/>
      <w:outlineLvl w:val="0"/>
    </w:pPr>
    <w:rPr>
      <w:b/>
      <w:i/>
      <w:kern w:val="28"/>
      <w:sz w:val="28"/>
    </w:rPr>
  </w:style>
  <w:style w:type="paragraph" w:styleId="Heading2">
    <w:name w:val="heading 2"/>
    <w:basedOn w:val="Normal"/>
    <w:next w:val="ListNumber2"/>
    <w:qFormat/>
    <w:pPr>
      <w:keepNext/>
      <w:tabs>
        <w:tab w:val="left" w:pos="720"/>
        <w:tab w:val="left" w:pos="1440"/>
      </w:tabs>
      <w:outlineLvl w:val="1"/>
    </w:pPr>
    <w:rPr>
      <w:b/>
      <w:bCs/>
    </w:rPr>
  </w:style>
  <w:style w:type="paragraph" w:styleId="Heading3">
    <w:name w:val="heading 3"/>
    <w:basedOn w:val="Normal"/>
    <w:next w:val="ListNumber2"/>
    <w:qFormat/>
    <w:pPr>
      <w:keepNext/>
      <w:tabs>
        <w:tab w:val="left" w:pos="1440"/>
      </w:tabs>
      <w:outlineLvl w:val="2"/>
    </w:pPr>
    <w:rPr>
      <w:i/>
    </w:rPr>
  </w:style>
  <w:style w:type="paragraph" w:styleId="Heading4">
    <w:name w:val="heading 4"/>
    <w:basedOn w:val="Heading3"/>
    <w:next w:val="ListNumber2"/>
    <w:qFormat/>
    <w:pPr>
      <w:outlineLvl w:val="3"/>
    </w:pPr>
  </w:style>
  <w:style w:type="paragraph" w:styleId="Heading5">
    <w:name w:val="heading 5"/>
    <w:basedOn w:val="Normal"/>
    <w:next w:val="Normal"/>
    <w:qFormat/>
    <w:pPr>
      <w:numPr>
        <w:ilvl w:val="4"/>
        <w:numId w:val="1"/>
      </w:numPr>
      <w:tabs>
        <w:tab w:val="left" w:pos="86"/>
      </w:tabs>
      <w:outlineLvl w:val="4"/>
    </w:pPr>
  </w:style>
  <w:style w:type="paragraph" w:styleId="Heading6">
    <w:name w:val="heading 6"/>
    <w:basedOn w:val="Normal"/>
    <w:next w:val="Normal"/>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right"/>
    </w:pPr>
    <w:rPr>
      <w:snapToGrid w:val="0"/>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4"/>
      </w:numPr>
    </w:pPr>
  </w:style>
  <w:style w:type="character" w:customStyle="1" w:styleId="ORRFooterCaption">
    <w:name w:val="ORR Footer Caption"/>
    <w:rPr>
      <w:rFonts w:ascii="GillSans Light" w:hAnsi="GillSans Light"/>
      <w:i/>
      <w:w w:val="100"/>
      <w:sz w:val="16"/>
    </w:rPr>
  </w:style>
  <w:style w:type="character" w:customStyle="1" w:styleId="ORRFooterDetails">
    <w:name w:val="ORR Footer Details"/>
    <w:rPr>
      <w:rFonts w:ascii="GillSans" w:hAnsi="GillSans"/>
      <w:noProof/>
      <w:spacing w:val="10"/>
      <w:w w:val="100"/>
      <w:position w:val="0"/>
      <w:sz w:val="16"/>
    </w:rPr>
  </w:style>
  <w:style w:type="paragraph" w:customStyle="1" w:styleId="ORRFooterJobTitle">
    <w:name w:val="ORR Footer Job Title"/>
    <w:basedOn w:val="Normal"/>
    <w:next w:val="Normal"/>
    <w:pPr>
      <w:spacing w:after="8"/>
      <w:jc w:val="right"/>
    </w:pPr>
    <w:rPr>
      <w:b/>
      <w:spacing w:val="10"/>
      <w:kern w:val="16"/>
      <w:sz w:val="16"/>
    </w:rPr>
  </w:style>
  <w:style w:type="paragraph" w:styleId="Signature">
    <w:name w:val="Signature"/>
    <w:basedOn w:val="Normal"/>
    <w:pPr>
      <w:spacing w:after="0"/>
    </w:pPr>
    <w:rPr>
      <w:b/>
      <w:caps/>
    </w:rPr>
  </w:style>
  <w:style w:type="paragraph" w:customStyle="1" w:styleId="ORRFooterName">
    <w:name w:val="ORR Footer Name"/>
    <w:basedOn w:val="Normal"/>
    <w:next w:val="ORRFooterJobTitle"/>
    <w:pPr>
      <w:spacing w:after="60"/>
      <w:jc w:val="right"/>
    </w:pPr>
    <w:rPr>
      <w:b/>
      <w:caps/>
      <w:spacing w:val="20"/>
      <w:kern w:val="16"/>
      <w:sz w:val="16"/>
    </w:rPr>
  </w:style>
  <w:style w:type="paragraph" w:customStyle="1" w:styleId="ORRLetterDate">
    <w:name w:val="ORR Letter Date"/>
    <w:basedOn w:val="Normal"/>
    <w:pPr>
      <w:keepNext/>
      <w:suppressAutoHyphens/>
      <w:spacing w:after="560"/>
    </w:pPr>
  </w:style>
  <w:style w:type="character" w:styleId="FootnoteReference">
    <w:name w:val="footnote reference"/>
    <w:semiHidden/>
    <w:rPr>
      <w:sz w:val="22"/>
      <w:vertAlign w:val="superscript"/>
    </w:rPr>
  </w:style>
  <w:style w:type="paragraph" w:styleId="FootnoteText">
    <w:name w:val="footnote text"/>
    <w:basedOn w:val="Normal"/>
    <w:semiHidden/>
    <w:pPr>
      <w:spacing w:after="200"/>
      <w:ind w:left="1100" w:hanging="300"/>
    </w:pPr>
    <w:rPr>
      <w:sz w:val="20"/>
    </w:rPr>
  </w:style>
  <w:style w:type="paragraph" w:customStyle="1" w:styleId="ORRLetterHeader">
    <w:name w:val="ORR Letter Header"/>
    <w:basedOn w:val="Heading1"/>
    <w:pPr>
      <w:spacing w:before="1680"/>
    </w:pPr>
  </w:style>
  <w:style w:type="paragraph" w:customStyle="1" w:styleId="Chapterheader">
    <w:name w:val="Chapter header"/>
    <w:basedOn w:val="Normal"/>
    <w:pPr>
      <w:pBdr>
        <w:bottom w:val="single" w:sz="18" w:space="1" w:color="auto"/>
      </w:pBdr>
      <w:spacing w:after="480" w:line="240" w:lineRule="auto"/>
      <w:outlineLvl w:val="0"/>
    </w:pPr>
    <w:rPr>
      <w:b/>
      <w:sz w:val="46"/>
    </w:rPr>
  </w:style>
  <w:style w:type="paragraph" w:customStyle="1" w:styleId="ORRLetterSalutation">
    <w:name w:val="ORR Letter Salutation"/>
    <w:basedOn w:val="Normal"/>
    <w:next w:val="Heading1"/>
    <w:pPr>
      <w:keepNext/>
      <w:suppressAutoHyphens/>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color w:val="auto"/>
      <w:sz w:val="20"/>
    </w:rPr>
  </w:style>
  <w:style w:type="paragraph" w:styleId="ListNumber">
    <w:name w:val="List Number"/>
    <w:pPr>
      <w:spacing w:before="120" w:after="120" w:line="360" w:lineRule="exact"/>
    </w:pPr>
    <w:rPr>
      <w:rFonts w:ascii="Arial" w:hAnsi="Arial"/>
      <w:sz w:val="24"/>
      <w:lang w:eastAsia="en-US"/>
    </w:rPr>
  </w:style>
  <w:style w:type="paragraph" w:styleId="ListNumber2">
    <w:name w:val="List Number 2"/>
    <w:basedOn w:val="Normal"/>
    <w:pPr>
      <w:numPr>
        <w:ilvl w:val="1"/>
        <w:numId w:val="6"/>
      </w:numPr>
      <w:suppressAutoHyphens/>
      <w:jc w:val="both"/>
    </w:pPr>
  </w:style>
  <w:style w:type="paragraph" w:styleId="ListNumber3">
    <w:name w:val="List Number 3"/>
    <w:basedOn w:val="Normal"/>
    <w:pPr>
      <w:numPr>
        <w:ilvl w:val="2"/>
        <w:numId w:val="8"/>
      </w:numPr>
      <w:suppressAutoHyphens/>
      <w:jc w:val="both"/>
    </w:pPr>
  </w:style>
  <w:style w:type="paragraph" w:customStyle="1" w:styleId="AnnexHeading">
    <w:name w:val="Annex Heading"/>
    <w:basedOn w:val="Heading1"/>
    <w:next w:val="Normal"/>
    <w:pPr>
      <w:numPr>
        <w:numId w:val="5"/>
      </w:numPr>
    </w:pPr>
  </w:style>
  <w:style w:type="paragraph" w:customStyle="1" w:styleId="AnnexHeading2">
    <w:name w:val="Annex Heading 2"/>
    <w:basedOn w:val="Heading2"/>
    <w:next w:val="Normal"/>
  </w:style>
  <w:style w:type="paragraph" w:customStyle="1" w:styleId="AnnexHeading3">
    <w:name w:val="Annex Heading 3"/>
    <w:basedOn w:val="Heading3"/>
    <w:next w:val="Normal"/>
  </w:style>
  <w:style w:type="paragraph" w:customStyle="1" w:styleId="AnnexList">
    <w:name w:val="Annex List"/>
    <w:basedOn w:val="ListNumber2"/>
    <w:pPr>
      <w:numPr>
        <w:numId w:val="7"/>
      </w:numPr>
    </w:pPr>
  </w:style>
  <w:style w:type="paragraph" w:customStyle="1" w:styleId="AnnexSubList">
    <w:name w:val="Annex Sub List"/>
    <w:basedOn w:val="ListNumber3"/>
    <w:pPr>
      <w:numPr>
        <w:numId w:val="9"/>
      </w:numPr>
    </w:pPr>
  </w:style>
  <w:style w:type="paragraph" w:customStyle="1" w:styleId="ListNumber4BodyText">
    <w:name w:val="List Number 4 (Body Text)"/>
    <w:basedOn w:val="ListNumber3"/>
    <w:pPr>
      <w:numPr>
        <w:ilvl w:val="3"/>
        <w:numId w:val="10"/>
      </w:numPr>
      <w:tabs>
        <w:tab w:val="clear" w:pos="2160"/>
      </w:tabs>
      <w:ind w:left="2100" w:hanging="700"/>
    </w:pPr>
  </w:style>
  <w:style w:type="paragraph" w:customStyle="1" w:styleId="AnnexSubSubList">
    <w:name w:val="Annex Sub Sub List"/>
    <w:basedOn w:val="ListNumber4BodyText"/>
    <w:pPr>
      <w:numPr>
        <w:numId w:val="11"/>
      </w:numPr>
      <w:tabs>
        <w:tab w:val="clear" w:pos="2160"/>
      </w:tabs>
      <w:ind w:left="2098" w:hanging="697"/>
    </w:pPr>
  </w:style>
  <w:style w:type="paragraph" w:customStyle="1" w:styleId="Contentsheader">
    <w:name w:val="Contents header"/>
    <w:basedOn w:val="Chapterheader"/>
    <w:pPr>
      <w:spacing w:before="480" w:line="480" w:lineRule="exact"/>
    </w:pPr>
  </w:style>
  <w:style w:type="paragraph" w:customStyle="1" w:styleId="DocumentReference">
    <w:name w:val="Document Reference"/>
    <w:basedOn w:val="Normal"/>
    <w:pPr>
      <w:jc w:val="center"/>
    </w:pPr>
    <w:rPr>
      <w:rFonts w:ascii="GillSans" w:hAnsi="GillSans"/>
      <w:sz w:val="16"/>
    </w:rPr>
  </w:style>
  <w:style w:type="paragraph" w:customStyle="1" w:styleId="Evenfooter">
    <w:name w:val="Even footer"/>
    <w:basedOn w:val="Footer"/>
    <w:pPr>
      <w:tabs>
        <w:tab w:val="clear" w:pos="8306"/>
        <w:tab w:val="right" w:pos="9072"/>
      </w:tabs>
    </w:pPr>
  </w:style>
  <w:style w:type="character" w:styleId="Hyperlink">
    <w:name w:val="Hyperlink"/>
    <w:rPr>
      <w:color w:val="0000FF"/>
      <w:u w:val="single"/>
    </w:rPr>
  </w:style>
  <w:style w:type="paragraph" w:customStyle="1" w:styleId="ORRDocumentTitle">
    <w:name w:val="ORR Document Title"/>
    <w:basedOn w:val="Normal"/>
    <w:pPr>
      <w:jc w:val="center"/>
    </w:pPr>
    <w:rPr>
      <w:b/>
      <w:sz w:val="28"/>
    </w:rPr>
  </w:style>
  <w:style w:type="paragraph" w:customStyle="1" w:styleId="ORRTableColumnRowHeading">
    <w:name w:val="ORR Table Column/Row Heading"/>
    <w:basedOn w:val="Normal"/>
    <w:rPr>
      <w:rFonts w:ascii="GillSans" w:hAnsi="GillSans"/>
      <w:b/>
      <w:sz w:val="20"/>
    </w:rPr>
  </w:style>
  <w:style w:type="paragraph" w:customStyle="1" w:styleId="ORRTableTitle">
    <w:name w:val="ORR Table Title"/>
    <w:basedOn w:val="Normal"/>
    <w:pPr>
      <w:spacing w:before="240"/>
      <w:jc w:val="center"/>
    </w:pPr>
    <w:rPr>
      <w:rFonts w:ascii="GillSans" w:hAnsi="GillSans"/>
      <w:b/>
    </w:rPr>
  </w:style>
  <w:style w:type="paragraph" w:customStyle="1" w:styleId="ORRTableText">
    <w:name w:val="ORR TableText"/>
    <w:basedOn w:val="Normal"/>
    <w:rPr>
      <w:rFonts w:ascii="GillSans" w:hAnsi="GillSans"/>
      <w:sz w:val="20"/>
    </w:rPr>
  </w:style>
  <w:style w:type="paragraph" w:customStyle="1" w:styleId="RegulatorsHeading">
    <w:name w:val="Regulators Heading"/>
    <w:basedOn w:val="AnnexHeading"/>
    <w:next w:val="Normal"/>
    <w:pPr>
      <w:numPr>
        <w:numId w:val="12"/>
      </w:numPr>
    </w:pPr>
  </w:style>
  <w:style w:type="paragraph" w:customStyle="1" w:styleId="RegulatorsHeading2">
    <w:name w:val="Regulators Heading 2"/>
    <w:basedOn w:val="AnnexHeading2"/>
    <w:next w:val="Normal"/>
  </w:style>
  <w:style w:type="paragraph" w:customStyle="1" w:styleId="RegulatorsHeading3">
    <w:name w:val="Regulators Heading 3"/>
    <w:basedOn w:val="AnnexHeading3"/>
    <w:next w:val="Normal"/>
  </w:style>
  <w:style w:type="paragraph" w:customStyle="1" w:styleId="RegulatorsList">
    <w:name w:val="Regulators List"/>
    <w:basedOn w:val="AnnexList"/>
    <w:pPr>
      <w:numPr>
        <w:numId w:val="13"/>
      </w:numPr>
    </w:pPr>
  </w:style>
  <w:style w:type="paragraph" w:customStyle="1" w:styleId="RegulatorsSubList">
    <w:name w:val="Regulators Sub List"/>
    <w:basedOn w:val="AnnexSubList"/>
    <w:pPr>
      <w:numPr>
        <w:numId w:val="14"/>
      </w:numPr>
    </w:pPr>
  </w:style>
  <w:style w:type="paragraph" w:customStyle="1" w:styleId="RegulatorsSubSubList">
    <w:name w:val="Regulators Sub Sub List"/>
    <w:basedOn w:val="AnnexSubSubList"/>
    <w:pPr>
      <w:numPr>
        <w:numId w:val="15"/>
      </w:numPr>
      <w:tabs>
        <w:tab w:val="clear" w:pos="2160"/>
      </w:tabs>
      <w:ind w:left="2098" w:hanging="697"/>
    </w:pPr>
  </w:style>
  <w:style w:type="paragraph" w:styleId="TOC1">
    <w:name w:val="toc 1"/>
    <w:basedOn w:val="Normal"/>
    <w:next w:val="Normal"/>
    <w:semiHidden/>
    <w:pPr>
      <w:tabs>
        <w:tab w:val="left" w:pos="709"/>
        <w:tab w:val="right" w:leader="dot" w:pos="9000"/>
      </w:tabs>
      <w:spacing w:before="60" w:after="60"/>
    </w:pPr>
    <w:rPr>
      <w:b/>
      <w:noProof/>
    </w:rPr>
  </w:style>
  <w:style w:type="paragraph" w:styleId="TOC2">
    <w:name w:val="toc 2"/>
    <w:basedOn w:val="Normal"/>
    <w:next w:val="Normal"/>
    <w:semiHidden/>
    <w:pPr>
      <w:tabs>
        <w:tab w:val="left" w:pos="700"/>
        <w:tab w:val="right" w:leader="dot" w:pos="9000"/>
      </w:tabs>
      <w:spacing w:before="60" w:after="60"/>
      <w:ind w:left="288"/>
    </w:pPr>
    <w:rPr>
      <w:b/>
      <w:noProof/>
    </w:rPr>
  </w:style>
  <w:style w:type="paragraph" w:styleId="TOC3">
    <w:name w:val="toc 3"/>
    <w:basedOn w:val="TOC2"/>
    <w:next w:val="Normal"/>
    <w:semiHidden/>
    <w:pPr>
      <w:ind w:left="720"/>
    </w:pPr>
    <w:rPr>
      <w:b w:val="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autoSpaceDE w:val="0"/>
      <w:autoSpaceDN w:val="0"/>
      <w:adjustRightInd w:val="0"/>
      <w:ind w:left="3960" w:hanging="3240"/>
    </w:pPr>
    <w:rPr>
      <w:szCs w:val="24"/>
    </w:rPr>
  </w:style>
  <w:style w:type="character" w:styleId="CommentReference">
    <w:name w:val="annotation reference"/>
    <w:rsid w:val="007814A1"/>
    <w:rPr>
      <w:sz w:val="16"/>
      <w:szCs w:val="16"/>
    </w:rPr>
  </w:style>
  <w:style w:type="paragraph" w:styleId="CommentText">
    <w:name w:val="annotation text"/>
    <w:basedOn w:val="Normal"/>
    <w:link w:val="CommentTextChar"/>
    <w:rsid w:val="007814A1"/>
    <w:rPr>
      <w:sz w:val="20"/>
    </w:rPr>
  </w:style>
  <w:style w:type="character" w:customStyle="1" w:styleId="CommentTextChar">
    <w:name w:val="Comment Text Char"/>
    <w:link w:val="CommentText"/>
    <w:rsid w:val="007814A1"/>
    <w:rPr>
      <w:rFonts w:ascii="Arial" w:hAnsi="Arial"/>
      <w:lang w:eastAsia="en-US"/>
    </w:rPr>
  </w:style>
  <w:style w:type="paragraph" w:styleId="CommentSubject">
    <w:name w:val="annotation subject"/>
    <w:basedOn w:val="CommentText"/>
    <w:next w:val="CommentText"/>
    <w:link w:val="CommentSubjectChar"/>
    <w:rsid w:val="007814A1"/>
    <w:rPr>
      <w:b/>
      <w:bCs/>
    </w:rPr>
  </w:style>
  <w:style w:type="character" w:customStyle="1" w:styleId="CommentSubjectChar">
    <w:name w:val="Comment Subject Char"/>
    <w:link w:val="CommentSubject"/>
    <w:rsid w:val="007814A1"/>
    <w:rPr>
      <w:rFonts w:ascii="Arial" w:hAnsi="Arial"/>
      <w:b/>
      <w:bCs/>
      <w:lang w:eastAsia="en-US"/>
    </w:rPr>
  </w:style>
  <w:style w:type="paragraph" w:styleId="BalloonText">
    <w:name w:val="Balloon Text"/>
    <w:basedOn w:val="Normal"/>
    <w:link w:val="BalloonTextChar"/>
    <w:rsid w:val="007814A1"/>
    <w:pPr>
      <w:spacing w:before="0" w:after="0" w:line="240" w:lineRule="auto"/>
    </w:pPr>
    <w:rPr>
      <w:rFonts w:ascii="Segoe UI" w:hAnsi="Segoe UI" w:cs="Segoe UI"/>
      <w:sz w:val="18"/>
      <w:szCs w:val="18"/>
    </w:rPr>
  </w:style>
  <w:style w:type="character" w:customStyle="1" w:styleId="BalloonTextChar">
    <w:name w:val="Balloon Text Char"/>
    <w:link w:val="BalloonText"/>
    <w:rsid w:val="007814A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790</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Model railway undertaking passenger licence</vt:lpstr>
    </vt:vector>
  </TitlesOfParts>
  <Manager/>
  <Company>Office of Rail and Road</Company>
  <LinksUpToDate>false</LinksUpToDate>
  <CharactersWithSpaces>4845</CharactersWithSpaces>
  <SharedDoc>false</SharedDoc>
  <HLinks>
    <vt:vector size="18" baseType="variant">
      <vt:variant>
        <vt:i4>1769533</vt:i4>
      </vt:variant>
      <vt:variant>
        <vt:i4>14</vt:i4>
      </vt:variant>
      <vt:variant>
        <vt:i4>0</vt:i4>
      </vt:variant>
      <vt:variant>
        <vt:i4>5</vt:i4>
      </vt:variant>
      <vt:variant>
        <vt:lpwstr/>
      </vt:variant>
      <vt:variant>
        <vt:lpwstr>_Toc141758878</vt:lpwstr>
      </vt:variant>
      <vt:variant>
        <vt:i4>1769533</vt:i4>
      </vt:variant>
      <vt:variant>
        <vt:i4>8</vt:i4>
      </vt:variant>
      <vt:variant>
        <vt:i4>0</vt:i4>
      </vt:variant>
      <vt:variant>
        <vt:i4>5</vt:i4>
      </vt:variant>
      <vt:variant>
        <vt:lpwstr/>
      </vt:variant>
      <vt:variant>
        <vt:lpwstr>_Toc141758877</vt:lpwstr>
      </vt:variant>
      <vt:variant>
        <vt:i4>1769533</vt:i4>
      </vt:variant>
      <vt:variant>
        <vt:i4>2</vt:i4>
      </vt:variant>
      <vt:variant>
        <vt:i4>0</vt:i4>
      </vt:variant>
      <vt:variant>
        <vt:i4>5</vt:i4>
      </vt:variant>
      <vt:variant>
        <vt:lpwstr/>
      </vt:variant>
      <vt:variant>
        <vt:lpwstr>_Toc141758876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railway undertaking passenger licence</dc:title>
  <dc:subject/>
  <dc:creator>Office of Rail and Road</dc:creator>
  <cp:keywords/>
  <dc:description/>
  <cp:lastModifiedBy>Angeriz-Santos, Paula</cp:lastModifiedBy>
  <cp:revision>5</cp:revision>
  <cp:lastPrinted>2009-10-23T07:37:00Z</cp:lastPrinted>
  <dcterms:created xsi:type="dcterms:W3CDTF">2021-02-19T15:27:00Z</dcterms:created>
  <dcterms:modified xsi:type="dcterms:W3CDTF">2021-02-19T15:31:00Z</dcterms:modified>
</cp:coreProperties>
</file>